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>VOS a.s.</w:t>
      </w:r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Pravidla pro stanovení výše odměn členů představenstva a člena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>dozorč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í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>rady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>společnosti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>způsob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>jejich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>výpočtu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>podmínky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>jejich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>výplaty</w:t>
      </w:r>
      <w:proofErr w:type="spellEnd"/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36"/>
          <w:szCs w:val="36"/>
          <w:lang w:bidi="ar-SA"/>
        </w:rPr>
      </w:pPr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Cílem společnosti je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dos</w:t>
      </w:r>
      <w:r>
        <w:rPr>
          <w:rFonts w:ascii="Times New Roman" w:hAnsi="Times New Roman" w:cs="Times New Roman"/>
          <w:sz w:val="24"/>
          <w:szCs w:val="24"/>
          <w:lang w:bidi="ar-SA"/>
        </w:rPr>
        <w:t>áhnout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nejvyššího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možného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free cash flow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založeném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vysoké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rentabilitě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aktiv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ROA.</w:t>
      </w:r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Cílem pro manažery je dosažen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í a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překročení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normované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rentability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aktiv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výši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ROA 3,34%.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Současně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stanoven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spodní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limit ROA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výši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1</w:t>
      </w:r>
      <w:proofErr w:type="gramStart"/>
      <w:r>
        <w:rPr>
          <w:rFonts w:ascii="Times New Roman" w:hAnsi="Times New Roman" w:cs="Times New Roman"/>
          <w:sz w:val="24"/>
          <w:szCs w:val="24"/>
          <w:lang w:bidi="ar-SA"/>
        </w:rPr>
        <w:t>,67</w:t>
      </w:r>
      <w:proofErr w:type="gramEnd"/>
      <w:r>
        <w:rPr>
          <w:rFonts w:ascii="Times New Roman" w:hAnsi="Times New Roman" w:cs="Times New Roman"/>
          <w:sz w:val="24"/>
          <w:szCs w:val="24"/>
          <w:lang w:bidi="ar-SA"/>
        </w:rPr>
        <w:t>% (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bidi="ar-SA"/>
        </w:rPr>
        <w:t>% (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. 50%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normativu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ROA).</w:t>
      </w:r>
      <w:proofErr w:type="gram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ar-SA"/>
        </w:rPr>
        <w:t>Složení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roční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odměny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vychází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z 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návrhu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majoritních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akcionářů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pro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výpočet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odměn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>.</w:t>
      </w:r>
      <w:proofErr w:type="gramEnd"/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Tato pravidla určuj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í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výši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měsíčních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ročních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odměn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pro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členy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představenstva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člena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dozorčí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rady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ar-SA"/>
        </w:rPr>
        <w:t>společnosti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její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jednotlivé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složky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způsob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jejího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stanovení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postup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při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jejich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výplatě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0366CC" w:rsidRDefault="000366CC" w:rsidP="000366CC">
      <w:p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240" w:lineRule="auto"/>
        <w:ind w:left="420" w:hanging="420"/>
        <w:jc w:val="both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Měs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íční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odměna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výkon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funkce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člena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představenstva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člena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dozorčí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rady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společnosti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pro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období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od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1. 7. 2017</w:t>
      </w:r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1.1 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Pevná složka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měs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íční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odměny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:</w:t>
      </w:r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0366CC" w:rsidRDefault="000366CC" w:rsidP="000366CC">
      <w:pPr>
        <w:tabs>
          <w:tab w:val="right" w:pos="8505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Ing. Václav Ryš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ánek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předseda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představenstva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bidi="ar-SA"/>
        </w:rPr>
        <w:tab/>
        <w:t xml:space="preserve">  1.000,-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Kč</w:t>
      </w:r>
      <w:proofErr w:type="spellEnd"/>
    </w:p>
    <w:p w:rsidR="000366CC" w:rsidRDefault="000366CC" w:rsidP="000366CC">
      <w:pPr>
        <w:tabs>
          <w:tab w:val="right" w:pos="8505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Bc. Bedřich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Stanč</w:t>
      </w:r>
      <w:r>
        <w:rPr>
          <w:rFonts w:ascii="Times New Roman" w:hAnsi="Times New Roman" w:cs="Times New Roman"/>
          <w:sz w:val="24"/>
          <w:szCs w:val="24"/>
          <w:lang w:bidi="ar-SA"/>
        </w:rPr>
        <w:t>ík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člen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představenstva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bidi="ar-SA"/>
        </w:rPr>
        <w:tab/>
        <w:t xml:space="preserve">  1.000,-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Kč</w:t>
      </w:r>
      <w:proofErr w:type="spellEnd"/>
    </w:p>
    <w:p w:rsidR="000366CC" w:rsidRDefault="000366CC" w:rsidP="000366CC">
      <w:pPr>
        <w:tabs>
          <w:tab w:val="right" w:pos="8505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Pan Mikuláš Mor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ávek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místopředseda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představ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pověřený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člen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představ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bidi="ar-SA"/>
        </w:rPr>
        <w:tab/>
        <w:t xml:space="preserve">  1.000</w:t>
      </w:r>
      <w:proofErr w:type="gramStart"/>
      <w:r>
        <w:rPr>
          <w:rFonts w:ascii="Times New Roman" w:hAnsi="Times New Roman" w:cs="Times New Roman"/>
          <w:sz w:val="24"/>
          <w:szCs w:val="24"/>
          <w:lang w:bidi="ar-SA"/>
        </w:rPr>
        <w:t>,-</w:t>
      </w:r>
      <w:proofErr w:type="gram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Kč</w:t>
      </w:r>
      <w:proofErr w:type="spellEnd"/>
    </w:p>
    <w:p w:rsidR="000366CC" w:rsidRDefault="000366CC" w:rsidP="000366CC">
      <w:pPr>
        <w:tabs>
          <w:tab w:val="right" w:pos="8505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0366CC" w:rsidRDefault="000366CC" w:rsidP="000366CC">
      <w:pPr>
        <w:tabs>
          <w:tab w:val="right" w:pos="8505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Pan Miroslav Kurka - člen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dozorč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í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rady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bidi="ar-SA"/>
        </w:rPr>
        <w:tab/>
        <w:t xml:space="preserve">5.000,-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Kč</w:t>
      </w:r>
      <w:proofErr w:type="spellEnd"/>
    </w:p>
    <w:p w:rsidR="000366CC" w:rsidRDefault="000366CC" w:rsidP="000366CC">
      <w:pPr>
        <w:tabs>
          <w:tab w:val="right" w:pos="8505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0366CC" w:rsidRDefault="000366CC" w:rsidP="000366CC">
      <w:pPr>
        <w:tabs>
          <w:tab w:val="right" w:pos="8505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1.2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Př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íplatek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měsíční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odměně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:</w:t>
      </w:r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0366CC" w:rsidRDefault="000366CC" w:rsidP="000366CC">
      <w:pPr>
        <w:tabs>
          <w:tab w:val="right" w:pos="8505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Místopředsedovi představenstva - pověřen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ému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členu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představenstva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Mikuláši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Morávkovi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přísluší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s 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platností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bidi="ar-SA"/>
        </w:rPr>
        <w:t>1.6.2017</w:t>
      </w:r>
      <w:proofErr w:type="gram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výkon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působnosti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přímého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operativního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řízení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společnosti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příplatek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k 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měsíční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odměně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výši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>:</w:t>
      </w:r>
      <w:r>
        <w:rPr>
          <w:rFonts w:ascii="Times New Roman" w:hAnsi="Times New Roman" w:cs="Times New Roman"/>
          <w:sz w:val="24"/>
          <w:szCs w:val="24"/>
          <w:lang w:bidi="ar-SA"/>
        </w:rPr>
        <w:tab/>
        <w:t xml:space="preserve"> 12.500</w:t>
      </w:r>
      <w:proofErr w:type="gramStart"/>
      <w:r>
        <w:rPr>
          <w:rFonts w:ascii="Times New Roman" w:hAnsi="Times New Roman" w:cs="Times New Roman"/>
          <w:sz w:val="24"/>
          <w:szCs w:val="24"/>
          <w:lang w:bidi="ar-SA"/>
        </w:rPr>
        <w:t>,-</w:t>
      </w:r>
      <w:proofErr w:type="gram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Kč</w:t>
      </w:r>
      <w:proofErr w:type="spellEnd"/>
    </w:p>
    <w:p w:rsidR="000366CC" w:rsidRDefault="000366CC" w:rsidP="000366CC">
      <w:pPr>
        <w:tabs>
          <w:tab w:val="right" w:pos="8505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0366CC" w:rsidRDefault="000366CC" w:rsidP="000366CC">
      <w:pPr>
        <w:tabs>
          <w:tab w:val="right" w:pos="8505"/>
        </w:tabs>
        <w:autoSpaceDE w:val="0"/>
        <w:autoSpaceDN w:val="0"/>
        <w:adjustRightInd w:val="0"/>
        <w:spacing w:before="0" w:beforeAutospacing="0" w:after="120" w:afterAutospacing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1.3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Zvláštn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í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měsíční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odměny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pověřeného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člena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představenstva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: </w:t>
      </w:r>
    </w:p>
    <w:p w:rsidR="000366CC" w:rsidRDefault="000366CC" w:rsidP="000366CC">
      <w:pPr>
        <w:tabs>
          <w:tab w:val="left" w:pos="709"/>
          <w:tab w:val="right" w:pos="8505"/>
        </w:tabs>
        <w:autoSpaceDE w:val="0"/>
        <w:autoSpaceDN w:val="0"/>
        <w:adjustRightInd w:val="0"/>
        <w:spacing w:before="0" w:beforeAutospacing="0" w:after="12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1.3.1. </w:t>
      </w:r>
      <w:r>
        <w:rPr>
          <w:rFonts w:ascii="Times New Roman" w:hAnsi="Times New Roman" w:cs="Times New Roman"/>
          <w:sz w:val="24"/>
          <w:szCs w:val="24"/>
          <w:lang w:bidi="ar-SA"/>
        </w:rPr>
        <w:tab/>
        <w:t>Za překročen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í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spodního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limitu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ROA o </w:t>
      </w:r>
      <w:proofErr w:type="gramStart"/>
      <w:r>
        <w:rPr>
          <w:rFonts w:ascii="Times New Roman" w:hAnsi="Times New Roman" w:cs="Times New Roman"/>
          <w:sz w:val="24"/>
          <w:szCs w:val="24"/>
          <w:lang w:bidi="ar-SA"/>
        </w:rPr>
        <w:t>50%  (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bidi="ar-SA"/>
        </w:rPr>
        <w:t xml:space="preserve"> 75%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normativu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ROA = 2,505 %)</w:t>
      </w:r>
    </w:p>
    <w:p w:rsidR="000366CC" w:rsidRDefault="000366CC" w:rsidP="000366CC">
      <w:pPr>
        <w:tabs>
          <w:tab w:val="left" w:pos="709"/>
          <w:tab w:val="right" w:pos="8505"/>
        </w:tabs>
        <w:autoSpaceDE w:val="0"/>
        <w:autoSpaceDN w:val="0"/>
        <w:adjustRightInd w:val="0"/>
        <w:spacing w:before="0" w:beforeAutospacing="0" w:after="12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ab/>
        <w:t>čin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í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odměna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ab/>
        <w:t xml:space="preserve">6.500-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Kč</w:t>
      </w:r>
      <w:proofErr w:type="spellEnd"/>
    </w:p>
    <w:p w:rsidR="000366CC" w:rsidRDefault="000366CC" w:rsidP="000366CC">
      <w:pPr>
        <w:tabs>
          <w:tab w:val="left" w:pos="709"/>
          <w:tab w:val="right" w:pos="8505"/>
        </w:tabs>
        <w:autoSpaceDE w:val="0"/>
        <w:autoSpaceDN w:val="0"/>
        <w:adjustRightInd w:val="0"/>
        <w:spacing w:before="0" w:beforeAutospacing="0" w:after="12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1.3.2. </w:t>
      </w:r>
      <w:r>
        <w:rPr>
          <w:rFonts w:ascii="Times New Roman" w:hAnsi="Times New Roman" w:cs="Times New Roman"/>
          <w:sz w:val="24"/>
          <w:szCs w:val="24"/>
          <w:lang w:bidi="ar-SA"/>
        </w:rPr>
        <w:tab/>
        <w:t>Za překročen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í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spodního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limitu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ROA o </w:t>
      </w:r>
      <w:proofErr w:type="gramStart"/>
      <w:r>
        <w:rPr>
          <w:rFonts w:ascii="Times New Roman" w:hAnsi="Times New Roman" w:cs="Times New Roman"/>
          <w:sz w:val="24"/>
          <w:szCs w:val="24"/>
          <w:lang w:bidi="ar-SA"/>
        </w:rPr>
        <w:t>100%  (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bidi="ar-SA"/>
        </w:rPr>
        <w:t xml:space="preserve"> 100%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normativu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ROA = 3,34%) </w:t>
      </w:r>
    </w:p>
    <w:p w:rsidR="000366CC" w:rsidRDefault="000366CC" w:rsidP="000366CC">
      <w:pPr>
        <w:tabs>
          <w:tab w:val="left" w:pos="709"/>
          <w:tab w:val="right" w:pos="8505"/>
        </w:tabs>
        <w:autoSpaceDE w:val="0"/>
        <w:autoSpaceDN w:val="0"/>
        <w:adjustRightInd w:val="0"/>
        <w:spacing w:before="0" w:beforeAutospacing="0" w:after="12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ab/>
        <w:t>čin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í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odměna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dalších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ab/>
        <w:t xml:space="preserve">6.000-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Kč</w:t>
      </w:r>
      <w:proofErr w:type="spellEnd"/>
    </w:p>
    <w:p w:rsidR="000366CC" w:rsidRDefault="000366CC" w:rsidP="000366CC">
      <w:pPr>
        <w:tabs>
          <w:tab w:val="right" w:pos="8505"/>
        </w:tabs>
        <w:autoSpaceDE w:val="0"/>
        <w:autoSpaceDN w:val="0"/>
        <w:adjustRightInd w:val="0"/>
        <w:spacing w:before="0" w:beforeAutospacing="0" w:after="120" w:afterAutospacing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1.4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Měs</w:t>
      </w:r>
      <w:r>
        <w:rPr>
          <w:rFonts w:ascii="Times New Roman" w:hAnsi="Times New Roman" w:cs="Times New Roman"/>
          <w:sz w:val="24"/>
          <w:szCs w:val="24"/>
          <w:lang w:bidi="ar-SA"/>
        </w:rPr>
        <w:t>íční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odměny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výkon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funkce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členů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představenstva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člena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dozorčí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ar-SA"/>
        </w:rPr>
        <w:t>rady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jsou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splatné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vždy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do 15.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dne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kalendářního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měsíce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následujícího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měsíce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měsíci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kterému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vztahují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. </w:t>
      </w:r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0366CC" w:rsidRDefault="000366CC" w:rsidP="000366C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Ročn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í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kolektivní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odměna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členů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představenstva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člena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dozorčí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rady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společnosti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</w:p>
    <w:p w:rsidR="000366CC" w:rsidRDefault="000366CC" w:rsidP="000366CC">
      <w:pPr>
        <w:tabs>
          <w:tab w:val="left" w:pos="6804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Hodnota </w:t>
      </w:r>
      <w:r>
        <w:rPr>
          <w:rFonts w:ascii="Times New Roman" w:hAnsi="Times New Roman" w:cs="Times New Roman"/>
          <w:sz w:val="24"/>
          <w:szCs w:val="24"/>
          <w:u w:val="single"/>
          <w:lang w:bidi="ar-SA"/>
        </w:rPr>
        <w:t>normativu ROA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je pro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účetn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í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období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2017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stanovena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výši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>: 3</w:t>
      </w:r>
      <w:proofErr w:type="gramStart"/>
      <w:r>
        <w:rPr>
          <w:rFonts w:ascii="Times New Roman" w:hAnsi="Times New Roman" w:cs="Times New Roman"/>
          <w:sz w:val="24"/>
          <w:szCs w:val="24"/>
          <w:lang w:bidi="ar-SA"/>
        </w:rPr>
        <w:t>,34</w:t>
      </w:r>
      <w:proofErr w:type="gramEnd"/>
      <w:r>
        <w:rPr>
          <w:rFonts w:ascii="Times New Roman" w:hAnsi="Times New Roman" w:cs="Times New Roman"/>
          <w:sz w:val="24"/>
          <w:szCs w:val="24"/>
          <w:lang w:bidi="ar-SA"/>
        </w:rPr>
        <w:t xml:space="preserve">%. </w:t>
      </w:r>
    </w:p>
    <w:p w:rsidR="000366CC" w:rsidRDefault="000366CC" w:rsidP="000366CC">
      <w:pPr>
        <w:tabs>
          <w:tab w:val="left" w:pos="6804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Hodnota </w:t>
      </w:r>
      <w:r>
        <w:rPr>
          <w:rFonts w:ascii="Times New Roman" w:hAnsi="Times New Roman" w:cs="Times New Roman"/>
          <w:sz w:val="24"/>
          <w:szCs w:val="24"/>
          <w:u w:val="single"/>
          <w:lang w:bidi="ar-SA"/>
        </w:rPr>
        <w:t>Spodního limitu ROA za rok 2017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je stanovena: </w:t>
      </w:r>
      <w:r>
        <w:rPr>
          <w:rFonts w:ascii="Times New Roman" w:hAnsi="Times New Roman" w:cs="Times New Roman"/>
          <w:sz w:val="24"/>
          <w:szCs w:val="24"/>
          <w:lang w:bidi="ar-SA"/>
        </w:rPr>
        <w:tab/>
        <w:t xml:space="preserve">ve výši: 1,67% </w:t>
      </w:r>
    </w:p>
    <w:p w:rsidR="000366CC" w:rsidRDefault="000366CC" w:rsidP="000366CC">
      <w:pPr>
        <w:tabs>
          <w:tab w:val="left" w:pos="6804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(tj. 50% Očištěn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ého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normativu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ROA).</w:t>
      </w:r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Složka odměny označen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á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jako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roční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odměna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přiznává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členům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představenstva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pověřenému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členu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představenstva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členu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dozorčí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rady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společnosti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jako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podíl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Očištěné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 EBITDA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překračující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spodní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limit ROA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2017.</w:t>
      </w:r>
    </w:p>
    <w:p w:rsidR="000366CC" w:rsidRDefault="000366CC" w:rsidP="000366CC">
      <w:pPr>
        <w:tabs>
          <w:tab w:val="left" w:pos="3402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0366CC" w:rsidRDefault="000366CC" w:rsidP="000366CC">
      <w:pPr>
        <w:tabs>
          <w:tab w:val="left" w:pos="3402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bidi="ar-SA"/>
        </w:rPr>
        <w:t>Stanovení základní sazby odměny:</w:t>
      </w:r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Tvorba sazby 8,9% z normované očištěn</w:t>
      </w:r>
      <w:r>
        <w:rPr>
          <w:rFonts w:ascii="Times New Roman" w:hAnsi="Times New Roman" w:cs="Times New Roman"/>
          <w:lang w:bidi="ar-SA"/>
        </w:rPr>
        <w:t>é EBITDA:</w:t>
      </w:r>
    </w:p>
    <w:p w:rsidR="000366CC" w:rsidRDefault="000366CC" w:rsidP="000366CC">
      <w:pPr>
        <w:numPr>
          <w:ilvl w:val="0"/>
          <w:numId w:val="1"/>
        </w:numPr>
        <w:tabs>
          <w:tab w:val="left" w:pos="709"/>
          <w:tab w:val="right" w:pos="7938"/>
        </w:tabs>
        <w:autoSpaceDE w:val="0"/>
        <w:autoSpaceDN w:val="0"/>
        <w:adjustRightInd w:val="0"/>
        <w:spacing w:before="0" w:beforeAutospacing="0" w:after="0" w:afterAutospacing="0" w:line="240" w:lineRule="auto"/>
        <w:ind w:left="720" w:hanging="360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Základní sazba pro společnosti s aktivy do 100 mil.</w:t>
      </w:r>
      <w:r>
        <w:rPr>
          <w:rFonts w:ascii="Times New Roman" w:hAnsi="Times New Roman" w:cs="Times New Roman"/>
          <w:lang w:bidi="ar-SA"/>
        </w:rPr>
        <w:tab/>
        <w:t>5,5%</w:t>
      </w:r>
    </w:p>
    <w:p w:rsidR="000366CC" w:rsidRDefault="000366CC" w:rsidP="000366CC">
      <w:pPr>
        <w:numPr>
          <w:ilvl w:val="0"/>
          <w:numId w:val="1"/>
        </w:numPr>
        <w:tabs>
          <w:tab w:val="left" w:pos="709"/>
          <w:tab w:val="right" w:pos="7938"/>
        </w:tabs>
        <w:autoSpaceDE w:val="0"/>
        <w:autoSpaceDN w:val="0"/>
        <w:adjustRightInd w:val="0"/>
        <w:spacing w:before="0" w:beforeAutospacing="0" w:after="0" w:afterAutospacing="0" w:line="240" w:lineRule="auto"/>
        <w:ind w:left="720" w:hanging="360"/>
        <w:jc w:val="both"/>
        <w:rPr>
          <w:rFonts w:ascii="Times New Roman" w:hAnsi="Times New Roman" w:cs="Times New Roman"/>
          <w:u w:val="single"/>
          <w:lang w:bidi="ar-SA"/>
        </w:rPr>
      </w:pPr>
      <w:r>
        <w:rPr>
          <w:rFonts w:ascii="Times New Roman" w:hAnsi="Times New Roman" w:cs="Times New Roman"/>
          <w:lang w:bidi="ar-SA"/>
        </w:rPr>
        <w:t>Navýšen</w:t>
      </w:r>
      <w:r>
        <w:rPr>
          <w:rFonts w:ascii="Times New Roman" w:hAnsi="Times New Roman" w:cs="Times New Roman"/>
          <w:lang w:bidi="ar-SA"/>
        </w:rPr>
        <w:t xml:space="preserve">í </w:t>
      </w:r>
      <w:proofErr w:type="spellStart"/>
      <w:r>
        <w:rPr>
          <w:rFonts w:ascii="Times New Roman" w:hAnsi="Times New Roman" w:cs="Times New Roman"/>
          <w:lang w:bidi="ar-SA"/>
        </w:rPr>
        <w:t>sazby</w:t>
      </w:r>
      <w:proofErr w:type="spellEnd"/>
      <w:r>
        <w:rPr>
          <w:rFonts w:ascii="Times New Roman" w:hAnsi="Times New Roman" w:cs="Times New Roman"/>
          <w:lang w:bidi="ar-SA"/>
        </w:rPr>
        <w:t xml:space="preserve"> pro </w:t>
      </w:r>
      <w:proofErr w:type="spellStart"/>
      <w:r>
        <w:rPr>
          <w:rFonts w:ascii="Times New Roman" w:hAnsi="Times New Roman" w:cs="Times New Roman"/>
          <w:lang w:bidi="ar-SA"/>
        </w:rPr>
        <w:t>společnosti</w:t>
      </w:r>
      <w:proofErr w:type="spellEnd"/>
      <w:r>
        <w:rPr>
          <w:rFonts w:ascii="Times New Roman" w:hAnsi="Times New Roman" w:cs="Times New Roman"/>
          <w:lang w:bidi="ar-SA"/>
        </w:rPr>
        <w:t xml:space="preserve"> s </w:t>
      </w:r>
      <w:proofErr w:type="spellStart"/>
      <w:proofErr w:type="gramStart"/>
      <w:r>
        <w:rPr>
          <w:rFonts w:ascii="Times New Roman" w:hAnsi="Times New Roman" w:cs="Times New Roman"/>
          <w:lang w:bidi="ar-SA"/>
        </w:rPr>
        <w:t>Očištěná</w:t>
      </w:r>
      <w:proofErr w:type="spellEnd"/>
      <w:proofErr w:type="gramEnd"/>
      <w:r>
        <w:rPr>
          <w:rFonts w:ascii="Times New Roman" w:hAnsi="Times New Roman" w:cs="Times New Roman"/>
          <w:lang w:bidi="ar-SA"/>
        </w:rPr>
        <w:t xml:space="preserve"> ROA </w:t>
      </w:r>
      <w:proofErr w:type="spellStart"/>
      <w:r>
        <w:rPr>
          <w:rFonts w:ascii="Times New Roman" w:hAnsi="Times New Roman" w:cs="Times New Roman"/>
          <w:lang w:bidi="ar-SA"/>
        </w:rPr>
        <w:t>nad</w:t>
      </w:r>
      <w:proofErr w:type="spellEnd"/>
      <w:r>
        <w:rPr>
          <w:rFonts w:ascii="Times New Roman" w:hAnsi="Times New Roman" w:cs="Times New Roman"/>
          <w:lang w:bidi="ar-SA"/>
        </w:rPr>
        <w:t xml:space="preserve"> 14%</w:t>
      </w:r>
      <w:r>
        <w:rPr>
          <w:rFonts w:ascii="Times New Roman" w:hAnsi="Times New Roman" w:cs="Times New Roman"/>
          <w:lang w:bidi="ar-SA"/>
        </w:rPr>
        <w:tab/>
      </w:r>
      <w:r>
        <w:rPr>
          <w:rFonts w:ascii="Times New Roman" w:hAnsi="Times New Roman" w:cs="Times New Roman"/>
          <w:u w:val="single"/>
          <w:lang w:bidi="ar-SA"/>
        </w:rPr>
        <w:t>+0,0%</w:t>
      </w:r>
    </w:p>
    <w:p w:rsidR="000366CC" w:rsidRDefault="000366CC" w:rsidP="000366CC">
      <w:pPr>
        <w:tabs>
          <w:tab w:val="left" w:pos="709"/>
          <w:tab w:val="right" w:pos="7938"/>
        </w:tabs>
        <w:autoSpaceDE w:val="0"/>
        <w:autoSpaceDN w:val="0"/>
        <w:adjustRightInd w:val="0"/>
        <w:spacing w:before="0" w:beforeAutospacing="0" w:after="0" w:afterAutospacing="0" w:line="240" w:lineRule="auto"/>
        <w:ind w:left="720"/>
        <w:jc w:val="both"/>
        <w:rPr>
          <w:rFonts w:ascii="Times New Roman" w:hAnsi="Times New Roman" w:cs="Times New Roman"/>
          <w:i/>
          <w:iCs/>
          <w:lang w:bidi="ar-SA"/>
        </w:rPr>
      </w:pPr>
      <w:r>
        <w:rPr>
          <w:rFonts w:ascii="Times New Roman" w:hAnsi="Times New Roman" w:cs="Times New Roman"/>
          <w:i/>
          <w:iCs/>
          <w:lang w:bidi="ar-SA"/>
        </w:rPr>
        <w:t>Mezisoučet I</w:t>
      </w:r>
      <w:r>
        <w:rPr>
          <w:rFonts w:ascii="Times New Roman" w:hAnsi="Times New Roman" w:cs="Times New Roman"/>
          <w:i/>
          <w:iCs/>
          <w:lang w:bidi="ar-SA"/>
        </w:rPr>
        <w:tab/>
        <w:t>5,5%</w:t>
      </w:r>
    </w:p>
    <w:p w:rsidR="000366CC" w:rsidRDefault="000366CC" w:rsidP="000366CC">
      <w:pPr>
        <w:numPr>
          <w:ilvl w:val="0"/>
          <w:numId w:val="1"/>
        </w:numPr>
        <w:tabs>
          <w:tab w:val="left" w:pos="709"/>
          <w:tab w:val="right" w:pos="7938"/>
        </w:tabs>
        <w:autoSpaceDE w:val="0"/>
        <w:autoSpaceDN w:val="0"/>
        <w:adjustRightInd w:val="0"/>
        <w:spacing w:before="0" w:beforeAutospacing="0" w:after="0" w:afterAutospacing="0" w:line="240" w:lineRule="auto"/>
        <w:ind w:left="720" w:hanging="360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Navýšen</w:t>
      </w:r>
      <w:r>
        <w:rPr>
          <w:rFonts w:ascii="Times New Roman" w:hAnsi="Times New Roman" w:cs="Times New Roman"/>
          <w:lang w:bidi="ar-SA"/>
        </w:rPr>
        <w:t xml:space="preserve">í </w:t>
      </w:r>
      <w:proofErr w:type="spellStart"/>
      <w:r>
        <w:rPr>
          <w:rFonts w:ascii="Times New Roman" w:hAnsi="Times New Roman" w:cs="Times New Roman"/>
          <w:lang w:bidi="ar-SA"/>
        </w:rPr>
        <w:t>sazby</w:t>
      </w:r>
      <w:proofErr w:type="spellEnd"/>
      <w:r>
        <w:rPr>
          <w:rFonts w:ascii="Times New Roman" w:hAnsi="Times New Roman" w:cs="Times New Roman"/>
          <w:lang w:bidi="ar-SA"/>
        </w:rPr>
        <w:t xml:space="preserve"> pro </w:t>
      </w:r>
      <w:proofErr w:type="spellStart"/>
      <w:r>
        <w:rPr>
          <w:rFonts w:ascii="Times New Roman" w:hAnsi="Times New Roman" w:cs="Times New Roman"/>
          <w:lang w:bidi="ar-SA"/>
        </w:rPr>
        <w:t>orgány</w:t>
      </w:r>
      <w:proofErr w:type="spellEnd"/>
      <w:r>
        <w:rPr>
          <w:rFonts w:ascii="Times New Roman" w:hAnsi="Times New Roman" w:cs="Times New Roman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lang w:bidi="ar-SA"/>
        </w:rPr>
        <w:t>společnosti</w:t>
      </w:r>
      <w:proofErr w:type="spellEnd"/>
      <w:r>
        <w:rPr>
          <w:rFonts w:ascii="Times New Roman" w:hAnsi="Times New Roman" w:cs="Times New Roman"/>
          <w:lang w:bidi="ar-SA"/>
        </w:rPr>
        <w:t xml:space="preserve"> (+40%)</w:t>
      </w:r>
      <w:r>
        <w:rPr>
          <w:rFonts w:ascii="Times New Roman" w:hAnsi="Times New Roman" w:cs="Times New Roman"/>
          <w:lang w:bidi="ar-SA"/>
        </w:rPr>
        <w:tab/>
      </w:r>
      <w:r>
        <w:rPr>
          <w:rFonts w:ascii="Times New Roman" w:hAnsi="Times New Roman" w:cs="Times New Roman"/>
          <w:u w:val="single"/>
          <w:lang w:bidi="ar-SA"/>
        </w:rPr>
        <w:t>+2,2%</w:t>
      </w:r>
    </w:p>
    <w:p w:rsidR="000366CC" w:rsidRDefault="000366CC" w:rsidP="000366CC">
      <w:pPr>
        <w:tabs>
          <w:tab w:val="left" w:pos="709"/>
          <w:tab w:val="right" w:pos="7938"/>
        </w:tabs>
        <w:autoSpaceDE w:val="0"/>
        <w:autoSpaceDN w:val="0"/>
        <w:adjustRightInd w:val="0"/>
        <w:spacing w:before="0" w:beforeAutospacing="0" w:after="0" w:afterAutospacing="0" w:line="240" w:lineRule="auto"/>
        <w:ind w:left="720"/>
        <w:jc w:val="both"/>
        <w:rPr>
          <w:rFonts w:ascii="Times New Roman" w:hAnsi="Times New Roman" w:cs="Times New Roman"/>
          <w:i/>
          <w:iCs/>
          <w:lang w:bidi="ar-SA"/>
        </w:rPr>
      </w:pPr>
      <w:r>
        <w:rPr>
          <w:rFonts w:ascii="Times New Roman" w:hAnsi="Times New Roman" w:cs="Times New Roman"/>
          <w:i/>
          <w:iCs/>
          <w:lang w:bidi="ar-SA"/>
        </w:rPr>
        <w:t>Mezisoučet II</w:t>
      </w:r>
      <w:r>
        <w:rPr>
          <w:rFonts w:ascii="Times New Roman" w:hAnsi="Times New Roman" w:cs="Times New Roman"/>
          <w:i/>
          <w:iCs/>
          <w:lang w:bidi="ar-SA"/>
        </w:rPr>
        <w:tab/>
        <w:t>7,7%</w:t>
      </w:r>
    </w:p>
    <w:p w:rsidR="000366CC" w:rsidRDefault="000366CC" w:rsidP="000366CC">
      <w:pPr>
        <w:numPr>
          <w:ilvl w:val="0"/>
          <w:numId w:val="1"/>
        </w:numPr>
        <w:tabs>
          <w:tab w:val="left" w:pos="709"/>
          <w:tab w:val="right" w:pos="7938"/>
        </w:tabs>
        <w:autoSpaceDE w:val="0"/>
        <w:autoSpaceDN w:val="0"/>
        <w:adjustRightInd w:val="0"/>
        <w:spacing w:before="0" w:beforeAutospacing="0" w:after="0" w:afterAutospacing="0" w:line="240" w:lineRule="auto"/>
        <w:ind w:left="720" w:hanging="360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Navýšen</w:t>
      </w:r>
      <w:r>
        <w:rPr>
          <w:rFonts w:ascii="Times New Roman" w:hAnsi="Times New Roman" w:cs="Times New Roman"/>
          <w:lang w:bidi="ar-SA"/>
        </w:rPr>
        <w:t xml:space="preserve">í </w:t>
      </w:r>
      <w:proofErr w:type="spellStart"/>
      <w:r>
        <w:rPr>
          <w:rFonts w:ascii="Times New Roman" w:hAnsi="Times New Roman" w:cs="Times New Roman"/>
          <w:lang w:bidi="ar-SA"/>
        </w:rPr>
        <w:t>sazby</w:t>
      </w:r>
      <w:proofErr w:type="spellEnd"/>
      <w:r>
        <w:rPr>
          <w:rFonts w:ascii="Times New Roman" w:hAnsi="Times New Roman" w:cs="Times New Roman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lang w:bidi="ar-SA"/>
        </w:rPr>
        <w:t>za</w:t>
      </w:r>
      <w:proofErr w:type="spellEnd"/>
      <w:r>
        <w:rPr>
          <w:rFonts w:ascii="Times New Roman" w:hAnsi="Times New Roman" w:cs="Times New Roman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lang w:bidi="ar-SA"/>
        </w:rPr>
        <w:t>mimořádně</w:t>
      </w:r>
      <w:proofErr w:type="spellEnd"/>
      <w:r>
        <w:rPr>
          <w:rFonts w:ascii="Times New Roman" w:hAnsi="Times New Roman" w:cs="Times New Roman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lang w:bidi="ar-SA"/>
        </w:rPr>
        <w:t>zhoršené</w:t>
      </w:r>
      <w:proofErr w:type="spellEnd"/>
      <w:r>
        <w:rPr>
          <w:rFonts w:ascii="Times New Roman" w:hAnsi="Times New Roman" w:cs="Times New Roman"/>
          <w:lang w:bidi="ar-S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bidi="ar-SA"/>
        </w:rPr>
        <w:t>podmínky</w:t>
      </w:r>
      <w:proofErr w:type="spellEnd"/>
      <w:r>
        <w:rPr>
          <w:rFonts w:ascii="Times New Roman" w:hAnsi="Times New Roman" w:cs="Times New Roman"/>
          <w:lang w:bidi="ar-SA"/>
        </w:rPr>
        <w:t xml:space="preserve">  (+15%</w:t>
      </w:r>
      <w:proofErr w:type="gramEnd"/>
      <w:r>
        <w:rPr>
          <w:rFonts w:ascii="Times New Roman" w:hAnsi="Times New Roman" w:cs="Times New Roman"/>
          <w:lang w:bidi="ar-SA"/>
        </w:rPr>
        <w:t>)</w:t>
      </w:r>
      <w:r>
        <w:rPr>
          <w:rFonts w:ascii="Times New Roman" w:hAnsi="Times New Roman" w:cs="Times New Roman"/>
          <w:lang w:bidi="ar-SA"/>
        </w:rPr>
        <w:tab/>
      </w:r>
      <w:r>
        <w:rPr>
          <w:rFonts w:ascii="Times New Roman" w:hAnsi="Times New Roman" w:cs="Times New Roman"/>
          <w:u w:val="single"/>
          <w:lang w:bidi="ar-SA"/>
        </w:rPr>
        <w:t>+1,2%</w:t>
      </w:r>
    </w:p>
    <w:p w:rsidR="000366CC" w:rsidRDefault="000366CC" w:rsidP="000366CC">
      <w:pPr>
        <w:tabs>
          <w:tab w:val="left" w:pos="709"/>
          <w:tab w:val="right" w:pos="7938"/>
        </w:tabs>
        <w:autoSpaceDE w:val="0"/>
        <w:autoSpaceDN w:val="0"/>
        <w:adjustRightInd w:val="0"/>
        <w:spacing w:before="0" w:beforeAutospacing="0" w:after="0" w:afterAutospacing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lang w:bidi="ar-SA"/>
        </w:rPr>
      </w:pPr>
      <w:r>
        <w:rPr>
          <w:rFonts w:ascii="Times New Roman" w:hAnsi="Times New Roman" w:cs="Times New Roman"/>
          <w:b/>
          <w:bCs/>
          <w:i/>
          <w:iCs/>
          <w:lang w:bidi="ar-SA"/>
        </w:rPr>
        <w:t>Celkem</w:t>
      </w:r>
      <w:r>
        <w:rPr>
          <w:rFonts w:ascii="Times New Roman" w:hAnsi="Times New Roman" w:cs="Times New Roman"/>
          <w:b/>
          <w:bCs/>
          <w:i/>
          <w:iCs/>
          <w:lang w:bidi="ar-SA"/>
        </w:rPr>
        <w:tab/>
        <w:t>8,9%</w:t>
      </w:r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Motivace vychází ze zásady, že při dosažen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í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normativu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ROA se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každé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1%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navýšení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Očištěné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EBITDA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nad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stanovený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normativ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EBITDA se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zvyšuje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odměna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o 2,5% a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naopak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0366CC" w:rsidRDefault="000366CC" w:rsidP="000366CC">
      <w:pPr>
        <w:tabs>
          <w:tab w:val="left" w:pos="3402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2.1. Výpočet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ročn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í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odměny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:</w:t>
      </w:r>
    </w:p>
    <w:p w:rsidR="000366CC" w:rsidRDefault="000366CC" w:rsidP="000366CC">
      <w:pPr>
        <w:tabs>
          <w:tab w:val="left" w:pos="3402"/>
        </w:tabs>
        <w:autoSpaceDE w:val="0"/>
        <w:autoSpaceDN w:val="0"/>
        <w:adjustRightInd w:val="0"/>
        <w:spacing w:before="0" w:beforeAutospacing="0" w:after="12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Nárok na kolektivní odměnu vznik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á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až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dosažení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spodního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limitu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ROA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výši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1,67% (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. 50%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normativu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ROA).</w:t>
      </w:r>
    </w:p>
    <w:p w:rsidR="000366CC" w:rsidRDefault="000366CC" w:rsidP="000366CC">
      <w:pPr>
        <w:tabs>
          <w:tab w:val="left" w:pos="3402"/>
        </w:tabs>
        <w:autoSpaceDE w:val="0"/>
        <w:autoSpaceDN w:val="0"/>
        <w:adjustRightInd w:val="0"/>
        <w:spacing w:before="0" w:beforeAutospacing="0" w:after="120" w:afterAutospacing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Ročn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í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odměna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vypočítá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takto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>:</w:t>
      </w:r>
    </w:p>
    <w:p w:rsidR="000366CC" w:rsidRDefault="000366CC" w:rsidP="000366CC">
      <w:p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ab/>
        <w:t>skutečně dosažen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á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Očištěná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EBITDA k 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31.12.2017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</w:p>
    <w:p w:rsidR="000366CC" w:rsidRDefault="000366CC" w:rsidP="000366CC">
      <w:pPr>
        <w:tabs>
          <w:tab w:val="left" w:pos="1134"/>
        </w:tabs>
        <w:autoSpaceDE w:val="0"/>
        <w:autoSpaceDN w:val="0"/>
        <w:adjustRightInd w:val="0"/>
        <w:spacing w:before="0" w:beforeAutospacing="0" w:after="120" w:afterAutospacing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mínus náklady na kapitál a riziko (WACC), </w:t>
      </w:r>
      <w:r>
        <w:rPr>
          <w:rFonts w:ascii="Times New Roman" w:hAnsi="Times New Roman" w:cs="Times New Roman"/>
          <w:sz w:val="24"/>
          <w:szCs w:val="24"/>
          <w:lang w:bidi="ar-SA"/>
        </w:rPr>
        <w:t>které se stanoví takto: Očištěn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á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Obhospodařovaná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aktiva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k </w:t>
      </w:r>
      <w:proofErr w:type="gramStart"/>
      <w:r>
        <w:rPr>
          <w:rFonts w:ascii="Times New Roman" w:hAnsi="Times New Roman" w:cs="Times New Roman"/>
          <w:sz w:val="24"/>
          <w:szCs w:val="24"/>
          <w:lang w:bidi="ar-SA"/>
        </w:rPr>
        <w:t>31.12.2016</w:t>
      </w:r>
      <w:proofErr w:type="gramEnd"/>
      <w:r>
        <w:rPr>
          <w:rFonts w:ascii="Times New Roman" w:hAnsi="Times New Roman" w:cs="Times New Roman"/>
          <w:sz w:val="24"/>
          <w:szCs w:val="24"/>
          <w:lang w:bidi="ar-SA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spodní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limit ROA 1,67%</w:t>
      </w:r>
    </w:p>
    <w:p w:rsidR="000366CC" w:rsidRDefault="000366CC" w:rsidP="000366CC">
      <w:pPr>
        <w:tabs>
          <w:tab w:val="left" w:pos="1134"/>
        </w:tabs>
        <w:autoSpaceDE w:val="0"/>
        <w:autoSpaceDN w:val="0"/>
        <w:adjustRightInd w:val="0"/>
        <w:spacing w:before="0" w:beforeAutospacing="0" w:after="120" w:afterAutospacing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double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Výsledek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ab/>
        <w:t xml:space="preserve">= </w:t>
      </w:r>
      <w:r>
        <w:rPr>
          <w:rFonts w:ascii="Times New Roman" w:hAnsi="Times New Roman" w:cs="Times New Roman"/>
          <w:b/>
          <w:bCs/>
          <w:sz w:val="24"/>
          <w:szCs w:val="24"/>
          <w:u w:val="double"/>
          <w:lang w:bidi="ar-SA"/>
        </w:rPr>
        <w:t xml:space="preserve">Ekonomická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double"/>
          <w:lang w:bidi="ar-SA"/>
        </w:rPr>
        <w:t>přidan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double"/>
          <w:lang w:bidi="ar-SA"/>
        </w:rPr>
        <w:t xml:space="preserve">á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double"/>
          <w:lang w:bidi="ar-SA"/>
        </w:rPr>
        <w:t>hodnota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double"/>
          <w:lang w:bidi="ar-SA"/>
        </w:rPr>
        <w:t xml:space="preserve">  </w:t>
      </w:r>
    </w:p>
    <w:p w:rsidR="000366CC" w:rsidRDefault="000366CC" w:rsidP="000366CC">
      <w:pPr>
        <w:tabs>
          <w:tab w:val="left" w:pos="3402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Při v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ýpočtu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odměny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z 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ekonomické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přidané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hodnoty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procento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odměny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mění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souvislosti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stanovenou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výší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nákladů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kapitál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riziko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(WACC)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takto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>:</w:t>
      </w:r>
    </w:p>
    <w:p w:rsidR="000366CC" w:rsidRDefault="000366CC" w:rsidP="000366CC">
      <w:p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Při splněn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í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normativu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ROA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výši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3,34% (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. 100%)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činí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odměna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8,9% z 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dosažené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Očištěné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EBITDA k </w:t>
      </w:r>
      <w:proofErr w:type="gramStart"/>
      <w:r>
        <w:rPr>
          <w:rFonts w:ascii="Times New Roman" w:hAnsi="Times New Roman" w:cs="Times New Roman"/>
          <w:sz w:val="24"/>
          <w:szCs w:val="24"/>
          <w:lang w:bidi="ar-SA"/>
        </w:rPr>
        <w:t>31.12.2017</w:t>
      </w:r>
      <w:proofErr w:type="gramEnd"/>
      <w:r>
        <w:rPr>
          <w:rFonts w:ascii="Times New Roman" w:hAnsi="Times New Roman" w:cs="Times New Roman"/>
          <w:sz w:val="24"/>
          <w:szCs w:val="24"/>
          <w:lang w:bidi="ar-SA"/>
        </w:rPr>
        <w:t xml:space="preserve">. </w:t>
      </w:r>
    </w:p>
    <w:p w:rsidR="000366CC" w:rsidRDefault="000366CC" w:rsidP="000366CC">
      <w:p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Po odečten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í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nákladů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WACC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výši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1,67%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tj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. 50%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normativu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ROA)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činí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odměna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17,8% z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ekonomické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přidané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hodnoty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.</w:t>
      </w:r>
    </w:p>
    <w:p w:rsidR="000366CC" w:rsidRDefault="000366CC" w:rsidP="000366CC">
      <w:pPr>
        <w:tabs>
          <w:tab w:val="left" w:pos="3402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0366CC" w:rsidRDefault="000366CC" w:rsidP="000366CC">
      <w:pPr>
        <w:tabs>
          <w:tab w:val="left" w:pos="3402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bidi="ar-SA"/>
        </w:rPr>
        <w:t>Náklady na kapitál a riziko (WACC)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se pro účely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odměňov</w:t>
      </w:r>
      <w:r>
        <w:rPr>
          <w:rFonts w:ascii="Times New Roman" w:hAnsi="Times New Roman" w:cs="Times New Roman"/>
          <w:sz w:val="24"/>
          <w:szCs w:val="24"/>
          <w:lang w:bidi="ar-SA"/>
        </w:rPr>
        <w:t>ání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dle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těchto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pravidel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vypočítají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: </w:t>
      </w:r>
    </w:p>
    <w:p w:rsidR="000366CC" w:rsidRDefault="000366CC" w:rsidP="000366CC">
      <w:pPr>
        <w:tabs>
          <w:tab w:val="left" w:pos="3402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Dosažen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á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Očištěná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Obhospodařovaná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aktiva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k 31.12.2016  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ar-SA"/>
        </w:rPr>
        <w:t>násobí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 1,67</w:t>
      </w:r>
      <w:proofErr w:type="gramEnd"/>
      <w:r>
        <w:rPr>
          <w:rFonts w:ascii="Times New Roman" w:hAnsi="Times New Roman" w:cs="Times New Roman"/>
          <w:sz w:val="24"/>
          <w:szCs w:val="24"/>
          <w:lang w:bidi="ar-SA"/>
        </w:rPr>
        <w:t xml:space="preserve"> % (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spodní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limit ROA) </w:t>
      </w:r>
    </w:p>
    <w:p w:rsidR="000366CC" w:rsidRDefault="000366CC" w:rsidP="000366CC">
      <w:pPr>
        <w:tabs>
          <w:tab w:val="left" w:pos="3402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bidi="ar-SA"/>
        </w:rPr>
        <w:t xml:space="preserve">Ekonomická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bidi="ar-SA"/>
        </w:rPr>
        <w:t>přidan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bidi="ar-SA"/>
        </w:rPr>
        <w:t xml:space="preserve">á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bidi="ar-SA"/>
        </w:rPr>
        <w:t>hodnota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se pro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účely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odměňování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dle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těchto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pravidel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vypočítá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: </w:t>
      </w:r>
    </w:p>
    <w:p w:rsidR="000366CC" w:rsidRDefault="000366CC" w:rsidP="000366CC">
      <w:pPr>
        <w:tabs>
          <w:tab w:val="left" w:pos="3402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Dosažen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á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Očištěná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EBITDA k </w:t>
      </w:r>
      <w:proofErr w:type="gramStart"/>
      <w:r>
        <w:rPr>
          <w:rFonts w:ascii="Times New Roman" w:hAnsi="Times New Roman" w:cs="Times New Roman"/>
          <w:sz w:val="24"/>
          <w:szCs w:val="24"/>
          <w:lang w:bidi="ar-SA"/>
        </w:rPr>
        <w:t>31.12.2017</w:t>
      </w:r>
      <w:proofErr w:type="gramEnd"/>
      <w:r>
        <w:rPr>
          <w:rFonts w:ascii="Times New Roman" w:hAnsi="Times New Roman" w:cs="Times New Roman"/>
          <w:sz w:val="24"/>
          <w:szCs w:val="24"/>
          <w:lang w:bidi="ar-SA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Náklady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kapitál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riziko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(WACC)</w:t>
      </w:r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Při nesplněn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í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spodního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limitu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ROA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výši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1,67% (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. 50%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normativu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ROA) se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roční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odměna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nevyplácí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2.2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ab/>
        <w:t>Rozdělen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í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roční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odměny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vypočtené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dle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čl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. 2.1.) pro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členy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představenstva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pověřeného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člena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představenstva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člena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dozorčí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rady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společnosti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>:</w:t>
      </w:r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0366CC" w:rsidRDefault="000366CC" w:rsidP="000366CC">
      <w:pPr>
        <w:tabs>
          <w:tab w:val="left" w:pos="3119"/>
          <w:tab w:val="right" w:pos="8505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Ing. Mikuláš Mor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ávek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bidi="ar-SA"/>
        </w:rPr>
        <w:tab/>
        <w:t xml:space="preserve">25%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odměny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>. 4,45% z 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Ekonomické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přidané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hodnoty</w:t>
      </w:r>
      <w:proofErr w:type="spellEnd"/>
    </w:p>
    <w:p w:rsidR="000366CC" w:rsidRDefault="000366CC" w:rsidP="000366CC">
      <w:pPr>
        <w:tabs>
          <w:tab w:val="left" w:pos="3119"/>
          <w:tab w:val="right" w:pos="8505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Ing. Václav Ryš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ánek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ab/>
        <w:t xml:space="preserve">25%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odměny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>. 4,45% z 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Ekonomické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přidané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hodnoty</w:t>
      </w:r>
      <w:proofErr w:type="spellEnd"/>
    </w:p>
    <w:p w:rsidR="000366CC" w:rsidRDefault="000366CC" w:rsidP="000366CC">
      <w:pPr>
        <w:tabs>
          <w:tab w:val="left" w:pos="3119"/>
          <w:tab w:val="right" w:pos="8505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Bc. Bedřich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Stanč</w:t>
      </w:r>
      <w:r>
        <w:rPr>
          <w:rFonts w:ascii="Times New Roman" w:hAnsi="Times New Roman" w:cs="Times New Roman"/>
          <w:sz w:val="24"/>
          <w:szCs w:val="24"/>
          <w:lang w:bidi="ar-SA"/>
        </w:rPr>
        <w:t>ík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ab/>
        <w:t xml:space="preserve">25%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odměny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>. 4,45% z 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Ekonomické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přidané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hodnoty</w:t>
      </w:r>
      <w:proofErr w:type="spellEnd"/>
    </w:p>
    <w:p w:rsidR="000366CC" w:rsidRDefault="000366CC" w:rsidP="000366CC">
      <w:pPr>
        <w:tabs>
          <w:tab w:val="left" w:pos="3119"/>
          <w:tab w:val="right" w:pos="8505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Pan Miroslav </w:t>
      </w:r>
      <w:proofErr w:type="gramStart"/>
      <w:r>
        <w:rPr>
          <w:rFonts w:ascii="Times New Roman" w:hAnsi="Times New Roman" w:cs="Times New Roman"/>
          <w:sz w:val="24"/>
          <w:szCs w:val="24"/>
          <w:lang w:bidi="ar-SA"/>
        </w:rPr>
        <w:t>Kurka                    25%</w:t>
      </w:r>
      <w:proofErr w:type="gramEnd"/>
      <w:r>
        <w:rPr>
          <w:rFonts w:ascii="Times New Roman" w:hAnsi="Times New Roman" w:cs="Times New Roman"/>
          <w:sz w:val="24"/>
          <w:szCs w:val="24"/>
          <w:lang w:bidi="ar-SA"/>
        </w:rPr>
        <w:t xml:space="preserve"> odměny, tj. 4,45% z 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Ekonomick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é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přidané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hodnoty</w:t>
      </w:r>
      <w:proofErr w:type="spellEnd"/>
    </w:p>
    <w:p w:rsidR="000366CC" w:rsidRDefault="000366CC" w:rsidP="000366CC">
      <w:pPr>
        <w:tabs>
          <w:tab w:val="right" w:pos="8505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0366CC" w:rsidRDefault="000366CC" w:rsidP="000366CC">
      <w:pPr>
        <w:tabs>
          <w:tab w:val="right" w:pos="8505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2.3. Vysvětlen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í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pojmů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:</w:t>
      </w:r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bidi="ar-SA"/>
        </w:rPr>
        <w:t>Očištěn</w:t>
      </w:r>
      <w:r>
        <w:rPr>
          <w:rFonts w:ascii="Times New Roman" w:hAnsi="Times New Roman" w:cs="Times New Roman"/>
          <w:sz w:val="24"/>
          <w:szCs w:val="24"/>
          <w:u w:val="single"/>
          <w:lang w:bidi="ar-SA"/>
        </w:rPr>
        <w:t>á ROA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2017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bude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zjištěna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z 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účetní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závěrky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k 31. 12. 2017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jako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podíl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Očištěné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EBITDA k </w:t>
      </w:r>
      <w:proofErr w:type="gramStart"/>
      <w:r>
        <w:rPr>
          <w:rFonts w:ascii="Times New Roman" w:hAnsi="Times New Roman" w:cs="Times New Roman"/>
          <w:sz w:val="24"/>
          <w:szCs w:val="24"/>
          <w:lang w:bidi="ar-SA"/>
        </w:rPr>
        <w:t>31.12.2017</w:t>
      </w:r>
      <w:proofErr w:type="gramEnd"/>
      <w:r>
        <w:rPr>
          <w:rFonts w:ascii="Times New Roman" w:hAnsi="Times New Roman" w:cs="Times New Roman"/>
          <w:sz w:val="24"/>
          <w:szCs w:val="24"/>
          <w:lang w:bidi="ar-SA"/>
        </w:rPr>
        <w:t xml:space="preserve"> k 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Obhospodařovaným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aktivům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k 31.12.2016.</w:t>
      </w:r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0366CC" w:rsidRDefault="000366CC" w:rsidP="000366CC">
      <w:pPr>
        <w:autoSpaceDE w:val="0"/>
        <w:autoSpaceDN w:val="0"/>
        <w:adjustRightInd w:val="0"/>
        <w:spacing w:before="0" w:beforeAutospacing="0" w:after="12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bidi="ar-SA"/>
        </w:rPr>
        <w:t>Očištěn</w:t>
      </w:r>
      <w:r>
        <w:rPr>
          <w:rFonts w:ascii="Times New Roman" w:hAnsi="Times New Roman" w:cs="Times New Roman"/>
          <w:sz w:val="24"/>
          <w:szCs w:val="24"/>
          <w:u w:val="single"/>
          <w:lang w:bidi="ar-SA"/>
        </w:rPr>
        <w:t>á EBITDA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se pro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účely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odměňování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dle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těchto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pravidel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rozumí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jako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provozní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výsledek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hospodaření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odpisy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nezaúčtované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dohadné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položky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nákladové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) +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roční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odměny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managementu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±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další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mimořádné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vlivy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úprava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operace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které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nesouvisely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s 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běžnou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provozní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činností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společností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např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prodej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majetku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apod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.).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ar-SA"/>
        </w:rPr>
        <w:t>Úpravy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navrhuje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představenstvo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schvaluje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dozorčí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bidi="ar-SA"/>
        </w:rPr>
        <w:t>Obhospodařovan</w:t>
      </w:r>
      <w:r>
        <w:rPr>
          <w:rFonts w:ascii="Times New Roman" w:hAnsi="Times New Roman" w:cs="Times New Roman"/>
          <w:sz w:val="24"/>
          <w:szCs w:val="24"/>
          <w:u w:val="single"/>
          <w:lang w:bidi="ar-SA"/>
        </w:rPr>
        <w:t>ými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bidi="ar-SA"/>
        </w:rPr>
        <w:t>aktivy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pak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rozumí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aktiva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kterými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disponuje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management, a to v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této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struktuře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: </w:t>
      </w:r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- dlouhodobý hmotný majetek (DHM) netto v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účetn</w:t>
      </w:r>
      <w:r>
        <w:rPr>
          <w:rFonts w:ascii="Times New Roman" w:hAnsi="Times New Roman" w:cs="Times New Roman"/>
          <w:sz w:val="24"/>
          <w:szCs w:val="24"/>
          <w:lang w:bidi="ar-SA"/>
        </w:rPr>
        <w:t>ích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cenách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- zásoby celkem netto, </w:t>
      </w:r>
    </w:p>
    <w:p w:rsidR="000366CC" w:rsidRDefault="000366CC" w:rsidP="000366CC">
      <w:pPr>
        <w:autoSpaceDE w:val="0"/>
        <w:autoSpaceDN w:val="0"/>
        <w:adjustRightInd w:val="0"/>
        <w:spacing w:before="0" w:beforeAutospacing="0" w:after="12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- krátkodobé a dlouhodobé pohledávky (bez půjček ve skupině) netto </w:t>
      </w:r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2.4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Zvláštn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í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odměna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pro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členy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představenstva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pověřeného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člena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představenstva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člena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dozorčí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rady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společnosti</w:t>
      </w:r>
      <w:proofErr w:type="spellEnd"/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je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přiznávána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při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prodeji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významné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části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dlouhodobého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hmotného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majetku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(DHM).  </w:t>
      </w:r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Při dosažen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í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kladného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HV z 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prodeje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významné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části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dlouhodobého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hmotného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majetku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ar-SA"/>
        </w:rPr>
        <w:t>náleží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členům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představenstva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pověřenému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členu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představenstva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členu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dozorčí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rady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společnosti</w:t>
      </w:r>
      <w:proofErr w:type="spellEnd"/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zvláštní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odměna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výši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8,9% z 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kladného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HV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dosaženého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prodejem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tohoto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významného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dlouhodobého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hmotného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majetku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Rozdělen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í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zvláštní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odměny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>:</w:t>
      </w:r>
    </w:p>
    <w:p w:rsidR="000366CC" w:rsidRDefault="000366CC" w:rsidP="000366CC">
      <w:pPr>
        <w:tabs>
          <w:tab w:val="left" w:pos="3119"/>
          <w:tab w:val="right" w:pos="8505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Ing. Mikuláš Mor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ávek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bidi="ar-SA"/>
        </w:rPr>
        <w:tab/>
        <w:t xml:space="preserve">25%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odměny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>. 2,225% z 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kladného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HV z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prodeje</w:t>
      </w:r>
      <w:proofErr w:type="spellEnd"/>
    </w:p>
    <w:p w:rsidR="000366CC" w:rsidRDefault="000366CC" w:rsidP="000366CC">
      <w:pPr>
        <w:tabs>
          <w:tab w:val="left" w:pos="3119"/>
          <w:tab w:val="right" w:pos="8505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Ing. Václav Ryš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ánek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ab/>
        <w:t xml:space="preserve">25%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odměny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>. 2,225% z 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kladného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HV z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prodeje</w:t>
      </w:r>
      <w:proofErr w:type="spellEnd"/>
    </w:p>
    <w:p w:rsidR="000366CC" w:rsidRDefault="000366CC" w:rsidP="000366CC">
      <w:pPr>
        <w:tabs>
          <w:tab w:val="left" w:pos="3119"/>
          <w:tab w:val="right" w:pos="8505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Bc. Bedřich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Stanč</w:t>
      </w:r>
      <w:r>
        <w:rPr>
          <w:rFonts w:ascii="Times New Roman" w:hAnsi="Times New Roman" w:cs="Times New Roman"/>
          <w:sz w:val="24"/>
          <w:szCs w:val="24"/>
          <w:lang w:bidi="ar-SA"/>
        </w:rPr>
        <w:t>ík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ab/>
        <w:t xml:space="preserve">25%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odměny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>. 2,225% z 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kladného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HV z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prodeje</w:t>
      </w:r>
      <w:proofErr w:type="spellEnd"/>
    </w:p>
    <w:p w:rsidR="000366CC" w:rsidRDefault="000366CC" w:rsidP="000366CC">
      <w:pPr>
        <w:tabs>
          <w:tab w:val="left" w:pos="3119"/>
          <w:tab w:val="right" w:pos="8505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Pan Miroslav </w:t>
      </w:r>
      <w:proofErr w:type="gramStart"/>
      <w:r>
        <w:rPr>
          <w:rFonts w:ascii="Times New Roman" w:hAnsi="Times New Roman" w:cs="Times New Roman"/>
          <w:sz w:val="24"/>
          <w:szCs w:val="24"/>
          <w:lang w:bidi="ar-SA"/>
        </w:rPr>
        <w:t>Kurka                    25%</w:t>
      </w:r>
      <w:proofErr w:type="gramEnd"/>
      <w:r>
        <w:rPr>
          <w:rFonts w:ascii="Times New Roman" w:hAnsi="Times New Roman" w:cs="Times New Roman"/>
          <w:sz w:val="24"/>
          <w:szCs w:val="24"/>
          <w:lang w:bidi="ar-SA"/>
        </w:rPr>
        <w:t xml:space="preserve"> odměny, tj. 2,225% z 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kladn</w:t>
      </w:r>
      <w:r>
        <w:rPr>
          <w:rFonts w:ascii="Times New Roman" w:hAnsi="Times New Roman" w:cs="Times New Roman"/>
          <w:sz w:val="24"/>
          <w:szCs w:val="24"/>
          <w:lang w:bidi="ar-SA"/>
        </w:rPr>
        <w:t>ého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HV z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prodeje</w:t>
      </w:r>
      <w:proofErr w:type="spellEnd"/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0366CC" w:rsidRDefault="000366CC" w:rsidP="000366C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Společn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á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závěrečná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ustanovení</w:t>
      </w:r>
      <w:proofErr w:type="spellEnd"/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Tato Pravidla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odměňov</w:t>
      </w:r>
      <w:r>
        <w:rPr>
          <w:rFonts w:ascii="Times New Roman" w:hAnsi="Times New Roman" w:cs="Times New Roman"/>
          <w:sz w:val="24"/>
          <w:szCs w:val="24"/>
          <w:lang w:bidi="ar-SA"/>
        </w:rPr>
        <w:t>ání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s 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platností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bidi="ar-SA"/>
        </w:rPr>
        <w:t>1.7.2017</w:t>
      </w:r>
      <w:proofErr w:type="gram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nahrazují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pravidla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odměňování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ze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dne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22.6.2016 </w:t>
      </w:r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0366CC" w:rsidRDefault="000366CC" w:rsidP="000366CC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Předloženo ke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schv</w:t>
      </w:r>
      <w:r>
        <w:rPr>
          <w:rFonts w:ascii="Times New Roman" w:hAnsi="Times New Roman" w:cs="Times New Roman"/>
          <w:sz w:val="24"/>
          <w:szCs w:val="24"/>
          <w:lang w:bidi="ar-SA"/>
        </w:rPr>
        <w:t>álení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řádné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valné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hromadě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dne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30.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června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2017.</w:t>
      </w:r>
    </w:p>
    <w:p w:rsidR="000366CC" w:rsidRDefault="000366CC" w:rsidP="000366CC">
      <w:pPr>
        <w:tabs>
          <w:tab w:val="left" w:pos="3833"/>
        </w:tabs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:rsidR="000366CC" w:rsidRDefault="000366CC" w:rsidP="000366CC">
      <w:pPr>
        <w:tabs>
          <w:tab w:val="left" w:pos="3833"/>
        </w:tabs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Tato pravidla byla schválena ř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ádnou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valnou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hromadou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společnosti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dne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bidi="ar-SA"/>
        </w:rPr>
        <w:t>30.6.2017</w:t>
      </w:r>
      <w:proofErr w:type="gramEnd"/>
      <w:r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což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svými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podpisy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potvrzují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>:</w:t>
      </w:r>
    </w:p>
    <w:p w:rsidR="000366CC" w:rsidRDefault="000366CC" w:rsidP="000366CC">
      <w:pPr>
        <w:tabs>
          <w:tab w:val="left" w:pos="3833"/>
        </w:tabs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0366CC" w:rsidRDefault="000366CC" w:rsidP="000366CC">
      <w:pPr>
        <w:tabs>
          <w:tab w:val="left" w:pos="3833"/>
        </w:tabs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Předseda představenstva společnosti: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bidi="ar-SA"/>
        </w:rPr>
        <w:tab/>
        <w:t xml:space="preserve">………………………………. </w:t>
      </w:r>
    </w:p>
    <w:p w:rsidR="000366CC" w:rsidRDefault="000366CC" w:rsidP="000366CC">
      <w:pPr>
        <w:tabs>
          <w:tab w:val="left" w:pos="3833"/>
        </w:tabs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0366CC" w:rsidRDefault="000366CC" w:rsidP="000366CC">
      <w:pPr>
        <w:tabs>
          <w:tab w:val="left" w:pos="3833"/>
        </w:tabs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0366CC" w:rsidRDefault="000366CC" w:rsidP="000366CC">
      <w:pPr>
        <w:tabs>
          <w:tab w:val="left" w:pos="3833"/>
        </w:tabs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0366CC" w:rsidRDefault="000366CC" w:rsidP="000366CC">
      <w:pPr>
        <w:tabs>
          <w:tab w:val="left" w:pos="3833"/>
        </w:tabs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Člen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dozorč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í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rady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společnosti</w:t>
      </w:r>
      <w:proofErr w:type="spellEnd"/>
      <w:r>
        <w:rPr>
          <w:rFonts w:ascii="Times New Roman" w:hAnsi="Times New Roman" w:cs="Times New Roman"/>
          <w:sz w:val="28"/>
          <w:szCs w:val="28"/>
          <w:lang w:bidi="ar-SA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bidi="ar-SA"/>
        </w:rPr>
        <w:tab/>
        <w:t xml:space="preserve">      ……………………………….</w:t>
      </w:r>
    </w:p>
    <w:p w:rsidR="000366CC" w:rsidRDefault="000366CC" w:rsidP="000366CC">
      <w:pPr>
        <w:tabs>
          <w:tab w:val="left" w:pos="3833"/>
        </w:tabs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7858B8" w:rsidRDefault="007858B8"/>
    <w:sectPr w:rsidR="007858B8" w:rsidSect="00D1139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5A6AE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proofState w:spelling="clean" w:grammar="clean"/>
  <w:stylePaneFormatFilter w:val="1024"/>
  <w:defaultTabStop w:val="708"/>
  <w:hyphenationZone w:val="425"/>
  <w:characterSpacingControl w:val="doNotCompress"/>
  <w:compat/>
  <w:rsids>
    <w:rsidRoot w:val="000366CC"/>
    <w:rsid w:val="00000E2F"/>
    <w:rsid w:val="000366CC"/>
    <w:rsid w:val="002B32D6"/>
    <w:rsid w:val="003A276A"/>
    <w:rsid w:val="006B0A5E"/>
    <w:rsid w:val="00767345"/>
    <w:rsid w:val="007858B8"/>
    <w:rsid w:val="008A6137"/>
    <w:rsid w:val="008C4CD1"/>
    <w:rsid w:val="009A4D8D"/>
    <w:rsid w:val="009B788F"/>
    <w:rsid w:val="009D67F1"/>
    <w:rsid w:val="00B22894"/>
    <w:rsid w:val="00C80266"/>
    <w:rsid w:val="00C86BA5"/>
    <w:rsid w:val="00D96900"/>
    <w:rsid w:val="00E4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_Druhy jídla1,Druhy jídla"/>
    <w:qFormat/>
    <w:rsid w:val="000366CC"/>
  </w:style>
  <w:style w:type="paragraph" w:styleId="Nadpis1">
    <w:name w:val="heading 1"/>
    <w:aliases w:val="Suroviny"/>
    <w:basedOn w:val="Normln"/>
    <w:next w:val="Normln"/>
    <w:link w:val="Nadpis1Char"/>
    <w:uiPriority w:val="9"/>
    <w:qFormat/>
    <w:rsid w:val="009A4D8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_suroviny,suroviny"/>
    <w:basedOn w:val="Normln"/>
    <w:next w:val="Normln"/>
    <w:link w:val="Nadpis2Char"/>
    <w:uiPriority w:val="9"/>
    <w:unhideWhenUsed/>
    <w:qFormat/>
    <w:rsid w:val="009A4D8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aliases w:val="_Postup přípravy4,Postup přípravy"/>
    <w:basedOn w:val="Normln"/>
    <w:next w:val="Normln"/>
    <w:link w:val="Nadpis3Char"/>
    <w:uiPriority w:val="9"/>
    <w:unhideWhenUsed/>
    <w:qFormat/>
    <w:rsid w:val="009A4D8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A4D8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A4D8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A4D8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A4D8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A4D8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A4D8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Suroviny Char"/>
    <w:basedOn w:val="Standardnpsmoodstavce"/>
    <w:link w:val="Nadpis1"/>
    <w:uiPriority w:val="9"/>
    <w:rsid w:val="009A4D8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_suroviny Char,suroviny Char"/>
    <w:basedOn w:val="Standardnpsmoodstavce"/>
    <w:link w:val="Nadpis2"/>
    <w:uiPriority w:val="9"/>
    <w:rsid w:val="009A4D8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3A276A"/>
    <w:pPr>
      <w:ind w:left="640"/>
    </w:pPr>
  </w:style>
  <w:style w:type="character" w:customStyle="1" w:styleId="Nadpis3Char">
    <w:name w:val="Nadpis 3 Char"/>
    <w:aliases w:val="_Postup přípravy4 Char,Postup přípravy Char"/>
    <w:basedOn w:val="Standardnpsmoodstavce"/>
    <w:link w:val="Nadpis3"/>
    <w:uiPriority w:val="9"/>
    <w:rsid w:val="009A4D8D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9A4D8D"/>
    <w:rPr>
      <w:rFonts w:asciiTheme="majorHAnsi" w:eastAsiaTheme="majorEastAsia" w:hAnsiTheme="majorHAnsi" w:cstheme="majorBidi"/>
      <w:b/>
      <w:bCs/>
      <w:i/>
      <w:iCs/>
    </w:rPr>
  </w:style>
  <w:style w:type="character" w:styleId="Zvraznn">
    <w:name w:val="Emphasis"/>
    <w:uiPriority w:val="20"/>
    <w:qFormat/>
    <w:rsid w:val="009A4D8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aliases w:val="_Název jídla2,Název jídla"/>
    <w:basedOn w:val="Normln"/>
    <w:uiPriority w:val="1"/>
    <w:qFormat/>
    <w:rsid w:val="009A4D8D"/>
    <w:pPr>
      <w:spacing w:after="0" w:line="240" w:lineRule="auto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3A276A"/>
  </w:style>
  <w:style w:type="paragraph" w:styleId="Zkladntext">
    <w:name w:val="Body Text"/>
    <w:basedOn w:val="Normln"/>
    <w:link w:val="ZkladntextChar"/>
    <w:uiPriority w:val="99"/>
    <w:semiHidden/>
    <w:unhideWhenUsed/>
    <w:rsid w:val="003A276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A276A"/>
    <w:rPr>
      <w:rFonts w:ascii="Arial Black" w:hAnsi="Arial Black"/>
      <w:color w:val="9BBB59" w:themeColor="accent3"/>
      <w:sz w:val="32"/>
      <w:lang w:val="en-US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3A276A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3A276A"/>
  </w:style>
  <w:style w:type="paragraph" w:styleId="Nadpisobsahu">
    <w:name w:val="TOC Heading"/>
    <w:basedOn w:val="Nadpis1"/>
    <w:next w:val="Normln"/>
    <w:uiPriority w:val="39"/>
    <w:unhideWhenUsed/>
    <w:qFormat/>
    <w:rsid w:val="009A4D8D"/>
    <w:pPr>
      <w:outlineLvl w:val="9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A4D8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A4D8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A4D8D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A4D8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A4D8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9A4D8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A4D8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A4D8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A4D8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9A4D8D"/>
    <w:rPr>
      <w:b/>
      <w:bCs/>
    </w:rPr>
  </w:style>
  <w:style w:type="paragraph" w:styleId="Odstavecseseznamem">
    <w:name w:val="List Paragraph"/>
    <w:basedOn w:val="Normln"/>
    <w:uiPriority w:val="34"/>
    <w:qFormat/>
    <w:rsid w:val="009A4D8D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9A4D8D"/>
    <w:pPr>
      <w:spacing w:before="200" w:after="0"/>
      <w:ind w:left="360" w:right="360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9A4D8D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A4D8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A4D8D"/>
    <w:rPr>
      <w:b/>
      <w:bCs/>
      <w:i/>
      <w:iCs/>
    </w:rPr>
  </w:style>
  <w:style w:type="character" w:styleId="Zdraznnjemn">
    <w:name w:val="Subtle Emphasis"/>
    <w:uiPriority w:val="19"/>
    <w:qFormat/>
    <w:rsid w:val="009A4D8D"/>
    <w:rPr>
      <w:i/>
      <w:iCs/>
    </w:rPr>
  </w:style>
  <w:style w:type="character" w:styleId="Zdraznnintenzivn">
    <w:name w:val="Intense Emphasis"/>
    <w:uiPriority w:val="21"/>
    <w:qFormat/>
    <w:rsid w:val="009A4D8D"/>
    <w:rPr>
      <w:b/>
      <w:bCs/>
    </w:rPr>
  </w:style>
  <w:style w:type="character" w:styleId="Odkazjemn">
    <w:name w:val="Subtle Reference"/>
    <w:uiPriority w:val="31"/>
    <w:qFormat/>
    <w:rsid w:val="009A4D8D"/>
    <w:rPr>
      <w:smallCaps/>
    </w:rPr>
  </w:style>
  <w:style w:type="character" w:styleId="Odkazintenzivn">
    <w:name w:val="Intense Reference"/>
    <w:uiPriority w:val="32"/>
    <w:qFormat/>
    <w:rsid w:val="009A4D8D"/>
    <w:rPr>
      <w:smallCaps/>
      <w:spacing w:val="5"/>
      <w:u w:val="single"/>
    </w:rPr>
  </w:style>
  <w:style w:type="character" w:styleId="Nzevknihy">
    <w:name w:val="Book Title"/>
    <w:uiPriority w:val="33"/>
    <w:qFormat/>
    <w:rsid w:val="009A4D8D"/>
    <w:rPr>
      <w:i/>
      <w:i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960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2017-06-19T10:39:00Z</dcterms:created>
  <dcterms:modified xsi:type="dcterms:W3CDTF">2017-06-19T10:41:00Z</dcterms:modified>
</cp:coreProperties>
</file>