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VOS a.s.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0"/>
          <w:shd w:fill="auto" w:val="clear"/>
        </w:rPr>
        <w:t xml:space="preserve">Výro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0"/>
          <w:shd w:fill="auto" w:val="clear"/>
        </w:rPr>
        <w:t xml:space="preserve">í zpráva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96"/>
          <w:shd w:fill="auto" w:val="clear"/>
        </w:rPr>
        <w:t xml:space="preserve">za rok 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OBSAH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Základní údaje</w:t>
        <w:tab/>
        <w:tab/>
        <w:tab/>
        <w:tab/>
        <w:tab/>
        <w:tab/>
        <w:tab/>
        <w:tab/>
        <w:t xml:space="preserve">str. 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ředstavenstva o podnikatelsk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a stavu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jejího majetku</w:t>
        <w:tab/>
        <w:tab/>
        <w:tab/>
        <w:tab/>
        <w:tab/>
        <w:tab/>
        <w:tab/>
        <w:tab/>
        <w:tab/>
        <w:t xml:space="preserve">str.  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ředstavenstva 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ýsledcích 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ěrce za rok 2017 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úhradu ztráty.</w:t>
        <w:tab/>
        <w:tab/>
        <w:tab/>
        <w:tab/>
        <w:tab/>
        <w:tab/>
        <w:tab/>
        <w:tab/>
        <w:t xml:space="preserve">str. 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Zápis o rozhodnutí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k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dokumentu</w:t>
        <w:tab/>
        <w:tab/>
        <w:t xml:space="preserve">str.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v roce 2017, přezkoum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a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ávrhu na rozd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zisku v roce 2017</w:t>
        <w:tab/>
        <w:tab/>
        <w:tab/>
        <w:t xml:space="preserve">str. 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íloha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ěrka za rok 2017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Zpráva o vztazích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A.   ZÁkladní údaje: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Základní údaje o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čnosti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Obchodní jméno:</w:t>
        <w:tab/>
        <w:tab/>
        <w:t xml:space="preserve">VOS a.s.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Sídlo:</w:t>
        <w:tab/>
        <w:tab/>
        <w:tab/>
        <w:tab/>
        <w:t xml:space="preserve">Nádra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732, 397 86 Písek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ČO:</w:t>
        <w:tab/>
        <w:tab/>
        <w:tab/>
        <w:tab/>
        <w:t xml:space="preserve">46 67 80 34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ISIN:</w:t>
        <w:tab/>
        <w:tab/>
        <w:tab/>
        <w:tab/>
        <w:t xml:space="preserve">CS0008456752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Akciová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 VOS a.s. byla založena dne 1. května 1992 dle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ího zákoníku.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ředmět podnik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ání: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 xml:space="preserve">výroba,obchod a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žby  neuveden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ílohách 1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 3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živnostensk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ého zákona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Rejst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íkový soud: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ab/>
        <w:tab/>
        <w:tab/>
        <w:t xml:space="preserve">Krajský soud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ějovice, odd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íl B,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žka 494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Datum vzniku spole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čnosti: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1. května 1992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Identifika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údaje: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05"/>
        <w:gridCol w:w="4605"/>
      </w:tblGrid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Obchodní jméno :</w:t>
            </w:r>
          </w:p>
        </w:tc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VOS  a.s.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Sídlo :</w:t>
            </w:r>
          </w:p>
        </w:tc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Nádra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í 732, 397 86 Písek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 :</w:t>
            </w:r>
          </w:p>
        </w:tc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382 264 743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Fax :</w:t>
            </w:r>
          </w:p>
        </w:tc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382 264 743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:</w:t>
            </w:r>
          </w:p>
        </w:tc>
        <w:tc>
          <w:tcPr>
            <w:tcW w:w="46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moravek@vospisek.cz</w:t>
              </w:r>
            </w:hyperlink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www :</w:t>
        <w:tab/>
        <w:tab/>
        <w:tab/>
        <w:tab/>
        <w:tab/>
        <w:tab/>
        <w:t xml:space="preserve">      vospisek.cz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Nejvýznamn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události roku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 významným událostem po rozva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ém dni nedo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šlo, z tohoto důvodu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í nutno provést úpravu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ěrky za rok 2017.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B.   Údaje O ZÁkladníM KAPITÁLU: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Vý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še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ákladního kapitálu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Základní kapitál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čnosti je 292 792 tis. Kč, od vzniku společnosti nedošlo k 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ádným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ám v základním kapitálu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čnosti ani v počtu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í. Valná hromada rozhodla v r. 2002 o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ěně podoby akci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ze zaknihovaných na listinné.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Ke dni 1.1.2014 do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šlo v souladu s ustanoven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ím § 2 odst.1 Zákona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č.134/2013 Sb. ke změně listinn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ých akcií na majitele Spole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čnosti na akcie na jm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éno. P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ředstavenstvo Společnosti vyzvalo akcion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á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ře k v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ým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ěně v term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ínu od 3.3.2014 do 30.6.2014.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Akciová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ímý ani 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ímý podíl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řesahuj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ící 50% základního kapitálu nebo hlasovacích práv u jiné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čnosti, ve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ém majetku má 7 936 ks akcií emitenta KDYNIUM a.s.,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ČO 4537293, což představuje 15,15 %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íl hlasovacích práv na této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C.   Údaje O CENNÝCH PAPÍRECH: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Údaje o cenných papírech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Název cenného papíru: </w:t>
        <w:tab/>
        <w:tab/>
        <w:t xml:space="preserve">akcie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ISIN:</w:t>
        <w:tab/>
        <w:tab/>
        <w:tab/>
        <w:t xml:space="preserve"> </w:t>
        <w:tab/>
        <w:tab/>
        <w:t xml:space="preserve">CS0005036052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Druh:</w:t>
        <w:tab/>
        <w:tab/>
        <w:tab/>
        <w:tab/>
        <w:tab/>
        <w:t xml:space="preserve">kmenové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Forma:</w:t>
        <w:tab/>
        <w:t xml:space="preserve"> </w:t>
        <w:tab/>
        <w:tab/>
        <w:tab/>
        <w:tab/>
        <w:t xml:space="preserve">na jméno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Podoba:</w:t>
        <w:tab/>
        <w:t xml:space="preserve"> </w:t>
        <w:tab/>
        <w:tab/>
        <w:tab/>
        <w:t xml:space="preserve">listinné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Jmenovitá hodnota : </w:t>
        <w:tab/>
        <w:tab/>
        <w:tab/>
        <w:t xml:space="preserve">1 000,--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čet vydan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ých kus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ů : </w:t>
        <w:tab/>
        <w:tab/>
        <w:t xml:space="preserve">292 797 ks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Název trhu,kde je CP obchodován: </w:t>
        <w:tab/>
        <w:t xml:space="preserve">nejsou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řejně obchodovateln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Akcie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 rozhodnut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č. SR 596/7/2001 byly ke dni 5.dubna 2002 vyloučeny z obchodov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ání na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ém trhu s cennými papíry (RM SYSTÉM).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Struktura koncernu, jeho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 je společnost souč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ástí:</w:t>
      </w:r>
    </w:p>
    <w:p>
      <w:pPr>
        <w:tabs>
          <w:tab w:val="left" w:pos="4536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je souč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koncernu, kde ovládající osobou (mate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řskou společnost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í) jsou ve smyslu § 74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90/2012 Sb. o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čnostech a družstvech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 o obchodních korporacích)</w:t>
      </w:r>
    </w:p>
    <w:p>
      <w:pPr>
        <w:tabs>
          <w:tab w:val="left" w:pos="4536" w:leader="none"/>
        </w:tabs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Miroslav Kurka a p. Miroslav Kurka, osoby jednající ve shod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78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90/2012 Sb.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je ve smyslu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74 ovládanou osobou (dce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řinou společnost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í) a s ohledem na § 74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šechny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podniky jsou ve vztahu ke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osoby“.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Koncern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ovládající osoba Ing. Miroslav Kurka a p. Miroslav Kurka, osoby jednající ve shod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tyto ovl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ádané osoby: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viz.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Zpráva o vztazích mezi ovládající osobou, ovládanou osobou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propojen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osobami“.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Vývoj vlastního kapitálu (v tis.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č)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poslední 3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období je zachycen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íloze k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ěrce,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zprávy.</w:t>
      </w:r>
    </w:p>
    <w:p>
      <w:pPr>
        <w:spacing w:before="0" w:after="0" w:line="240"/>
        <w:ind w:right="0" w:left="142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D.ZÁKLADNÍ Údaje O 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ČINNOSTI ZA ROK 2017  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Ekonomické výsledky za rok 2017 ukazují,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že společnost hospodařila se ztr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átou 1 340 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č, z toho 2 110 tis.Kč tvořila provozn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ztráta a 770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 zisk z finančn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ího výsledku 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í.</w:t>
      </w: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Celkové výkony jsou obdobné s rokem 2016, skládají se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ředevš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ím z pronájmu prostor.</w:t>
      </w: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Aktiva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čnosti k 31.12.2017 byla 115 244 tis.. Kč v netto hodnot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ách, z toho 73,95 %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řil dlouhodob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ý hmotný majetek,  17,06 % dlouhodobý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majetek,  0,00 % zásoby , 7,23 %  pohledávky , 1,72 %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majetek a 0,04 % aktiva ostatní. Dlouhodobý hmotný majetek je odepsán z 57,33 % .</w:t>
      </w: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ých aktivech se podílí 19,26 % krátkodobý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majetek,   0,00 %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zásoby a 80,74  % pohledávky. </w:t>
      </w: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Pasiva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čnosti jsou tvořena z 95,43 %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ím kapitálem, 4,57 % tvo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cizí zdroje . Cizí zdroje se sní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žily oproti roku 2016 o 13,98 % 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Hospodá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ý výsledek za poslední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období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řipadaj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ící na 1 akcii: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24"/>
        <w:gridCol w:w="1092"/>
        <w:gridCol w:w="1092"/>
        <w:gridCol w:w="1093"/>
        <w:gridCol w:w="1093"/>
        <w:gridCol w:w="1093"/>
        <w:gridCol w:w="1093"/>
      </w:tblGrid>
      <w:tr>
        <w:trPr>
          <w:trHeight w:val="288" w:hRule="auto"/>
          <w:jc w:val="left"/>
        </w:trPr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r.2012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r.2013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r.2014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r.2015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r.2016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r.2017</w:t>
            </w:r>
          </w:p>
        </w:tc>
      </w:tr>
      <w:tr>
        <w:trPr>
          <w:trHeight w:val="288" w:hRule="auto"/>
          <w:jc w:val="left"/>
        </w:trPr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HV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ěž.obd. v tis. Kč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-4 659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-2 750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-6 918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+1 208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-3 065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-1 340</w:t>
            </w:r>
          </w:p>
        </w:tc>
      </w:tr>
      <w:tr>
        <w:trPr>
          <w:trHeight w:val="288" w:hRule="auto"/>
          <w:jc w:val="left"/>
        </w:trPr>
        <w:tc>
          <w:tcPr>
            <w:tcW w:w="2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HV/ 1 akcii v 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-15,91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-9,39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-23,63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+4,13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-10,47</w:t>
            </w:r>
          </w:p>
        </w:tc>
        <w:tc>
          <w:tcPr>
            <w:tcW w:w="1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-4,58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Dividendy nebyly v uvedených letech vypláceny.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žby z vlastn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činnosti v tis. Kč za posledn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období: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91"/>
        <w:gridCol w:w="979"/>
        <w:gridCol w:w="979"/>
        <w:gridCol w:w="980"/>
        <w:gridCol w:w="979"/>
        <w:gridCol w:w="980"/>
        <w:gridCol w:w="980"/>
      </w:tblGrid>
      <w:tr>
        <w:trPr>
          <w:trHeight w:val="288" w:hRule="auto"/>
          <w:jc w:val="left"/>
        </w:trPr>
        <w:tc>
          <w:tcPr>
            <w:tcW w:w="3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r.2015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r.2016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r.2017</w:t>
            </w:r>
          </w:p>
        </w:tc>
      </w:tr>
      <w:tr>
        <w:trPr>
          <w:trHeight w:val="288" w:hRule="auto"/>
          <w:jc w:val="left"/>
        </w:trPr>
        <w:tc>
          <w:tcPr>
            <w:tcW w:w="3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celkem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1744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1479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1521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2514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3315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3471</w:t>
            </w:r>
          </w:p>
        </w:tc>
      </w:tr>
      <w:tr>
        <w:trPr>
          <w:trHeight w:val="288" w:hRule="auto"/>
          <w:jc w:val="left"/>
        </w:trPr>
        <w:tc>
          <w:tcPr>
            <w:tcW w:w="3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 prodeje zbož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8" w:hRule="auto"/>
          <w:jc w:val="left"/>
        </w:trPr>
        <w:tc>
          <w:tcPr>
            <w:tcW w:w="3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 prodeje vlastn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výrobk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8" w:hRule="auto"/>
          <w:jc w:val="left"/>
        </w:trPr>
        <w:tc>
          <w:tcPr>
            <w:tcW w:w="3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žby z prodeje vlastn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slu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žeb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1402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1479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1521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2514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3315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3471</w:t>
            </w:r>
          </w:p>
        </w:tc>
      </w:tr>
      <w:tr>
        <w:trPr>
          <w:trHeight w:val="288" w:hRule="auto"/>
          <w:jc w:val="left"/>
        </w:trPr>
        <w:tc>
          <w:tcPr>
            <w:tcW w:w="3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Export celkem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8" w:hRule="auto"/>
          <w:jc w:val="left"/>
        </w:trPr>
        <w:tc>
          <w:tcPr>
            <w:tcW w:w="32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Export v %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0,0 %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0,0 %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0,0 %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0,0 %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0,0 %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0,0 %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ůměrn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čty zaměstnanců za posledn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období: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52"/>
        <w:gridCol w:w="907"/>
        <w:gridCol w:w="907"/>
        <w:gridCol w:w="907"/>
        <w:gridCol w:w="907"/>
        <w:gridCol w:w="908"/>
        <w:gridCol w:w="908"/>
      </w:tblGrid>
      <w:tr>
        <w:trPr>
          <w:trHeight w:val="288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r.2012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r.2013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r.2014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r.2016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r.2017</w:t>
            </w:r>
          </w:p>
        </w:tc>
      </w:tr>
      <w:tr>
        <w:trPr>
          <w:trHeight w:val="288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ůměrn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ý 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zaměstnanců celkem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8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z toho   THP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8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ěln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íci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Investi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činnost za posledn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období: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27"/>
        <w:gridCol w:w="992"/>
        <w:gridCol w:w="992"/>
        <w:gridCol w:w="992"/>
        <w:gridCol w:w="992"/>
        <w:gridCol w:w="993"/>
        <w:gridCol w:w="993"/>
      </w:tblGrid>
      <w:tr>
        <w:trPr>
          <w:trHeight w:val="288" w:hRule="auto"/>
          <w:jc w:val="left"/>
        </w:trPr>
        <w:tc>
          <w:tcPr>
            <w:tcW w:w="32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r.2012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r.2013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r.2014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r.2015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r.2016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r.2017</w:t>
            </w:r>
          </w:p>
        </w:tc>
      </w:tr>
      <w:tr>
        <w:trPr>
          <w:trHeight w:val="288" w:hRule="auto"/>
          <w:jc w:val="left"/>
        </w:trPr>
        <w:tc>
          <w:tcPr>
            <w:tcW w:w="32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ízení hmotných investic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3 750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6938</w:t>
            </w:r>
          </w:p>
        </w:tc>
      </w:tr>
      <w:tr>
        <w:trPr>
          <w:trHeight w:val="288" w:hRule="auto"/>
          <w:jc w:val="left"/>
        </w:trPr>
        <w:tc>
          <w:tcPr>
            <w:tcW w:w="32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ízení nehmotných investic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88" w:hRule="auto"/>
          <w:jc w:val="left"/>
        </w:trPr>
        <w:tc>
          <w:tcPr>
            <w:tcW w:w="32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Finan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í investice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Lines w:val="true"/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V roce 2017 byl do evidence  znovu za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řazen dlouhodob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ý hmotný majetek v PC 6938 tis.K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 a v ZC 0,- Kč </w:t>
      </w:r>
    </w:p>
    <w:p>
      <w:pPr>
        <w:keepLines w:val="true"/>
        <w:tabs>
          <w:tab w:val="left" w:pos="270" w:leader="none"/>
        </w:tabs>
        <w:spacing w:before="240" w:after="60" w:line="240"/>
        <w:ind w:right="-2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Dne 13.kv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ětna 2017 byla zř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ízena dce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řin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 spole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čnost Rourovna s.r.o., IČ 06098371, s vkladem 20 000,- Kč, s předmětem podnik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ání výroba, obchod a slu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žby neuveden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 v 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ílohách 1 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ž 3 živnostensk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ého zákona.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Aktivity v oblasti ochrany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ího prost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Vzhledem k tomu,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že společnost v roce 2008 ukončila svou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ýrobní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činnost, propustila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ěstnance a z velk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ásti odprodala technologické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ízení nevyvíjí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ádnou výrobní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činnost,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ěla negativn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vliv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í. O této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čnosti byla informov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ČIŽP v 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ých Bud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ějovic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ích a na MÚ Písek.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Informace o politice výzkumu a vývoje nových výrobk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u w:val="single"/>
          <w:shd w:fill="auto" w:val="clear"/>
        </w:rPr>
        <w:t xml:space="preserve">Vzhledem k zastavení výrobní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u w:val="single"/>
          <w:shd w:fill="auto" w:val="clear"/>
        </w:rPr>
        <w:t xml:space="preserve">činnosti společnost neprov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u w:val="single"/>
          <w:shd w:fill="auto" w:val="clear"/>
        </w:rPr>
        <w:t xml:space="preserve">ádí výzkum a vývoj nových výrobk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u w:val="single"/>
          <w:shd w:fill="auto" w:val="clear"/>
        </w:rPr>
        <w:t xml:space="preserve">ů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í údaje charakterizující podnikatelský subjekt: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 odlou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é organiza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žky,</w:t>
      </w:r>
    </w:p>
    <w:p>
      <w:pPr>
        <w:numPr>
          <w:ilvl w:val="0"/>
          <w:numId w:val="14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 zatí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žen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ástavním právem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ádný majetek</w:t>
      </w:r>
    </w:p>
    <w:p>
      <w:pPr>
        <w:numPr>
          <w:ilvl w:val="0"/>
          <w:numId w:val="14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 nevyuž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ívá ve své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činnosti licence, či patenty ani průmyslov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 a obchodní práva, která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ěla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ásadní význam pro podnikatelskou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činnost </w:t>
      </w:r>
    </w:p>
    <w:p>
      <w:pPr>
        <w:numPr>
          <w:ilvl w:val="0"/>
          <w:numId w:val="14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čnost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častna soudn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ích, správních ani rozhod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ízení, které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ěly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ásadní vliv na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situaci.</w:t>
      </w:r>
    </w:p>
    <w:p>
      <w:pPr>
        <w:tabs>
          <w:tab w:val="left" w:pos="851" w:leader="none"/>
          <w:tab w:val="left" w:pos="1701" w:leader="none"/>
        </w:tabs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keepNext w:val="true"/>
        <w:numPr>
          <w:ilvl w:val="0"/>
          <w:numId w:val="150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Návrh na rozd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hospodá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ého výsledku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Výsledek 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za rok 2017 ve schvalovacím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ízení:</w:t>
        <w:tab/>
        <w:tab/>
        <w:t xml:space="preserve">-1 340 019,10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</w:t>
      </w:r>
    </w:p>
    <w:p>
      <w:pPr>
        <w:tabs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Návrh na rozd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 ztráty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ého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ího období</w:t>
        <w:tab/>
        <w:t xml:space="preserve">- r. 2017</w:t>
        <w:tab/>
        <w:tab/>
        <w:t xml:space="preserve">  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-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řevod na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čet neuhrazen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ých ztrát minulých let</w:t>
        <w:tab/>
        <w:tab/>
        <w:t xml:space="preserve">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3"/>
          <w:shd w:fill="auto" w:val="clear"/>
        </w:rPr>
        <w:t xml:space="preserve">-1 340 019,10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č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E  ÚDAJE O STATUTÁRNÍCH A DOZOR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ÍCH ORGÁNECH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ředstavenstvo: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ředseda představenstva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áclav 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ánek, dat.nar. 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íjna 1948</w:t>
        <w:br/>
        <w:t xml:space="preserve">                                                           Prosecká 677/127, Prosek, 190 00 Praha 9</w:t>
      </w:r>
    </w:p>
    <w:p>
      <w:pPr>
        <w:spacing w:before="0" w:after="0" w:line="240"/>
        <w:ind w:right="0" w:left="288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3540" w:hanging="3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představenstva: </w:t>
        <w:tab/>
        <w:t xml:space="preserve">Ing. Mikul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ávek CSc., dat.nar. 20.zá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1942</w:t>
        <w:br/>
        <w:t xml:space="preserve">Legioná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řů 4543/8, 767 01 Kroměř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  <w:br/>
      </w:r>
    </w:p>
    <w:p>
      <w:pPr>
        <w:spacing w:before="0" w:after="0" w:line="240"/>
        <w:ind w:right="0" w:left="3540" w:hanging="3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člen představenstva</w:t>
        <w:tab/>
        <w:t xml:space="preserve">Bc. Bedřich Stanč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dat.nar. 12.b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1984</w:t>
        <w:br/>
        <w:t xml:space="preserve">Marie Majerov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645/5,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ěsto, 736 01 Hav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řov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í rada: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ředseda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 rady</w:t>
        <w:tab/>
        <w:tab/>
        <w:tab/>
        <w:t xml:space="preserve">Miroslav Kurka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dat.nar. 29.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července 1931</w:t>
      </w:r>
    </w:p>
    <w:p>
      <w:pPr>
        <w:spacing w:before="0" w:after="0" w:line="240"/>
        <w:ind w:right="0" w:left="3544" w:hanging="354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                                                              Karvinská 1263/61,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ěsto, 736 01 Hav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řov</w:t>
      </w:r>
    </w:p>
    <w:p>
      <w:pPr>
        <w:spacing w:before="0" w:after="0" w:line="240"/>
        <w:ind w:right="0" w:left="288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4254" w:hanging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ěny statut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árních a dozor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ích orgán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 společnosti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ěny statut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árních a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ích 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ů činily v roce 2014 318 tis.Kč, v roce 2015 623 tis.Kč, v roce 2016 279 tis.Kč, v roce 2017 151 tis.Kč. </w:t>
      </w:r>
    </w:p>
    <w:p>
      <w:pPr>
        <w:spacing w:before="0" w:after="0" w:line="240"/>
        <w:ind w:right="0" w:left="0" w:firstLine="141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F  ÚDAJE O OSOBÁCH ODPOV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ĚDN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ÝCH ZA VÝRO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Í ZPRÁVU A OV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ĚŘEN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Í Ú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ČETN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Í ZÁV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2"/>
          <w:shd w:fill="auto" w:val="clear"/>
        </w:rPr>
        <w:t xml:space="preserve">ĚRKY 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Osoba odpov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 za zpracování výro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zprávy: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Karger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ěmcov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1055/II, 37901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řeboň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Osoba odpov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 jako zástupce statutárního orgánu:</w:t>
      </w:r>
    </w:p>
    <w:p>
      <w:pPr>
        <w:spacing w:before="0" w:after="0" w:line="240"/>
        <w:ind w:right="0" w:left="3540" w:hanging="3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ávek, CSc. </w:t>
      </w:r>
    </w:p>
    <w:p>
      <w:pPr>
        <w:spacing w:before="0" w:after="0" w:line="240"/>
        <w:ind w:right="0" w:left="3540" w:hanging="3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řů 4543/8, 767 01 Kroměř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</w:t>
      </w:r>
    </w:p>
    <w:p>
      <w:pPr>
        <w:spacing w:before="0" w:after="0" w:line="240"/>
        <w:ind w:right="0" w:left="3540" w:hanging="3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a.s.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ístop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ředseda představenstva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Osoba odpov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 za 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ěrky: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r. 2005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INEKS spol. s r.o.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registrovan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Komorou auditor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ČR jako osoba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 auditorskou činnost s licenc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reg.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ČR: 81</w:t>
      </w:r>
    </w:p>
    <w:p>
      <w:pPr>
        <w:tabs>
          <w:tab w:val="left" w:pos="4536" w:leader="none"/>
          <w:tab w:val="lef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r. 2006 -  r.2017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Petr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šovsk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cesta 875, 735 53 Dolní Lutyn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registrovaná Komorou auditor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ČR jako osoba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 auditorskou činnost s licenc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reg.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253</w:t>
      </w:r>
    </w:p>
    <w:p>
      <w:pPr>
        <w:keepNext w:val="true"/>
        <w:numPr>
          <w:ilvl w:val="0"/>
          <w:numId w:val="175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numPr>
          <w:ilvl w:val="0"/>
          <w:numId w:val="175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numPr>
          <w:ilvl w:val="0"/>
          <w:numId w:val="175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é prohlá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odpov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ých osob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zpracování výro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zprávy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čestně, 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údaje uvedené ve 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ídají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podstatné okolnosti, které by mohly ovlivnit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správné posouzení emitenta cenných papír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nebyly vynech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Písku dne 21.b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2018</w:t>
      </w:r>
    </w:p>
    <w:p>
      <w:pPr>
        <w:spacing w:before="0" w:after="0" w:line="240"/>
        <w:ind w:right="0" w:left="3545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57" w:dyaOrig="1923">
          <v:rect xmlns:o="urn:schemas-microsoft-com:office:office" xmlns:v="urn:schemas-microsoft-com:vml" id="rectole0000000000" style="width:152.850000pt;height:96.1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statutární orgán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Prohla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šuji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čestně, 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údaje uvedené ve 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ídají skute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a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podstatné okolnosti, které by mohly ovlivnit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správné posouzení emitenta cenných papír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nebyly vynech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Písku dne 21.b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6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63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396" w:dyaOrig="789">
          <v:rect xmlns:o="urn:schemas-microsoft-com:office:office" xmlns:v="urn:schemas-microsoft-com:vml" id="rectole0000000001" style="width:69.800000pt;height:39.4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4254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Ing. Mikulá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Mor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ávek CSc.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ZPRÁVA P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ŘEDSTAVENSTVA O PODNIKATELSK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É 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ČINNOSTI a STAVU JEJ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ÍHO MAJETKU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akcioná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dovolte mi, abych v základních bodech zhodnotil uplynulý rok 2017.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ředstavenstvo postavilo před společnost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úkoly. Bylo rozhodnuto minimalizovat ztrátu z podnikání. </w:t>
      </w:r>
    </w:p>
    <w:p>
      <w:pPr>
        <w:keepNext w:val="true"/>
        <w:numPr>
          <w:ilvl w:val="0"/>
          <w:numId w:val="186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numPr>
          <w:ilvl w:val="0"/>
          <w:numId w:val="186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Rok 2017 po stránce obchodní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uplynulém roce 2017 bylo dosa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ženo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3472 tis.Kč. Z toho bylo 3471 tis.Kč tržeb z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ájmu nebytových prostor a 1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z prodeje dlouhodob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majetku a materiálu. Proti roku 2016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šlo ke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žeb o 4,5 %.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svých zasedání se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ředstavenstvo zab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ývalo i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ími provozními problémy, které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řešilo průběžně ve spolupr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áci s vedením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</w:t>
      </w:r>
    </w:p>
    <w:p>
      <w:pPr>
        <w:keepNext w:val="true"/>
        <w:numPr>
          <w:ilvl w:val="0"/>
          <w:numId w:val="188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numPr>
          <w:ilvl w:val="0"/>
          <w:numId w:val="188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Rok 2017  po stránce investi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í.</w:t>
      </w:r>
    </w:p>
    <w:p>
      <w:pPr>
        <w:keepLine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 oblastí investic úzce souvisí náklady na opravy, údr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žbu a revize. Na ně bylo vynaloženo 46 tis.Kč.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oblasti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likvidace odpadů byly realizov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 v souladu s platnou legislativou a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neměla v roce 2017 v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oblasti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zji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nedostatky.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vlastnictví nemovitého majetku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šlo v roce 2017 ke  změn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ám. 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roce 2017 byl vy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řazen z evidence dlouhodob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hmotný majetek v PC 1736 tis.K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 a ZC 0 tis.Kč. Znovu zařazen do evidence byl dlouhodob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hmotný majetek v PC 6700 tis.K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 a ZC 0 tis.Kč. Odeps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án byl majetek v hodnot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2897 tis.Kč. Tržby z prodeje dlouhodob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ého majetku nebyly.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roce 2017 nepo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ídila spole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 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ádný nový dlouhodobý majetek.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vlastnictví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jsou nad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pozemky o rozloze 32483 m2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četně administrativn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ích, výrobních a skladových prostor na nich postavených.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nad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 svém majetku 7 936 akcií slévárny KDYNIUM a.s.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v roce 2007 poskytla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8 mil. Kč a přijala v roce 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7,5 mil. Kč, v roce 2015 bylo splaceno 4,- mil.Kč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ěru a v roce 2016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1,- mil.K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a v roce 2017 dalš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0,2 mil.K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Nemovitý a movitý majetek s výjimkou skladu expedice a souvisejících pozemk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zastaven. </w:t>
      </w:r>
    </w:p>
    <w:p>
      <w:pPr>
        <w:keepNext w:val="true"/>
        <w:numPr>
          <w:ilvl w:val="0"/>
          <w:numId w:val="193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numPr>
          <w:ilvl w:val="0"/>
          <w:numId w:val="193"/>
        </w:numPr>
        <w:tabs>
          <w:tab w:val="left" w:pos="851" w:leader="none"/>
        </w:tabs>
        <w:spacing w:before="240" w:after="60" w:line="240"/>
        <w:ind w:right="0" w:left="4974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Rok 2017  po stránce ekonomické a finan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stránce byl rok 2017 bezproblémový a výsledky odpovídaly ekonomickému vývoji.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vytvořila ztr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1 340 019,10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Kč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Tuto ztr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 ovlivnily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odpisy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2897 tis.Kč. Na druh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hospodařen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ízniv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ovlivnily tržby z pron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ájmu prostor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byly proti roku 2016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 156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č, zv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výkonové spot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řeby o 365 tis.Kč a 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osobních náklad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o 8 tis.Kč. Došlo ke 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aktiv o 2276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z důvodu vyřazen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odpis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dlouhodob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majetku a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časně 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írnému sní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závazk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společnosti o 856 tis.Kč.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společnost neeviduje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závazky po splatnosti a to jak za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ěstnanci tak i za dodavateli.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Písku dne 21.b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091" w:dyaOrig="1984">
          <v:rect xmlns:o="urn:schemas-microsoft-com:office:office" xmlns:v="urn:schemas-microsoft-com:vml" id="rectole0000000002" style="width:454.550000pt;height:99.2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ZPRÁVA P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ŘEDSTAVENSTVA O V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ÝSLEDCÍCH HOSPODA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ŘEN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Í SPOLE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ČNOSTI, Ř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ÁDNÉ Ú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ČETN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Í ZÁV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ĚRCE ZA ROK 2017 A 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ÁVRHU P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ŘEDSTAVENSTVA NA ROZDĚLEN</w:t>
      </w:r>
      <w:r>
        <w:rPr>
          <w:rFonts w:ascii="Arial" w:hAnsi="Arial" w:cs="Arial" w:eastAsia="Arial"/>
          <w:b/>
          <w:caps w:val="true"/>
          <w:color w:val="auto"/>
          <w:spacing w:val="30"/>
          <w:position w:val="0"/>
          <w:sz w:val="24"/>
          <w:shd w:fill="auto" w:val="clear"/>
        </w:rPr>
        <w:t xml:space="preserve">Í ZISKU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akcioná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ři,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dovolte mi, abych v základních bodech zhodnotil uplynulý rok 2017 z hlediska  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čnosti. Pro rok 2017 byl v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ávaznosti na základní podnikatelské zám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ěry přijat hospod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plán, který ukládal minimalizovat ztrátu.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 v roce 2017 vyk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ázala ztrátu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1340 tis.Kč.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Výsledky hospoda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jsou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zpracované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VOS a.s. za rok 2017,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 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ěřena auditorem a je souč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Výro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zprávy za rok 2017.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Rok 2017po stránce výnos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Nejv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tvořily tržby z 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nebytov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prostor, jejich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objem byl 3471 tis.Kč a byly vyšš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 156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proti roku 2016. Tržby z prodeje nepotřebn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dlouhodobého majetku a materiálu byly 1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stavu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ásob hotových výrobk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 nedokončen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výroby je nulová, nebo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společnost nevykazuje tyto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ásoby.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Rok 2017 po stránce náklad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Nejv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žkou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byly odpisy a zůstatkov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cena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dlouhodobého hmotného majetku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2897 tis.Kč.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Osobní náklady byly ve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1156 tis.Kč. Z toho objem mzdov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náklad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977 tis.Kč.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Jiné náklady zahrnují objem materiálu a energie 362 tis.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č, opravy 46 tis.Kč, cestovn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92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č,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žby 728 tis.Kč, finančn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náklady 89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č, z toho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úroky 67 tis.K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ěr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doporu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ŘVH společnosti: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ředstavenstvo společnosti navrhuje ŘVH akcion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řů , aby hospod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ý výsledek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ztráta roku 2017 ve schvalovacím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ízení ve vý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1 340 019,10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byla rozdělen takto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čtovat do neuhrazen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 ztráty minulých 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1 340 019,10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Písku dne 21.b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2018</w:t>
      </w:r>
    </w:p>
    <w:p>
      <w:pPr>
        <w:spacing w:before="0" w:after="0" w:line="240"/>
        <w:ind w:right="0" w:left="5580" w:hanging="5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030" w:dyaOrig="1963">
          <v:rect xmlns:o="urn:schemas-microsoft-com:office:office" xmlns:v="urn:schemas-microsoft-com:vml" id="rectole0000000003" style="width:451.500000pt;height:98.1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0" w:left="5940" w:hanging="55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9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9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9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13"/>
        </w:numPr>
        <w:tabs>
          <w:tab w:val="left" w:pos="851" w:leader="none"/>
        </w:tabs>
        <w:spacing w:before="240" w:after="60" w:line="240"/>
        <w:ind w:right="0" w:left="4974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keepNext w:val="true"/>
        <w:numPr>
          <w:ilvl w:val="0"/>
          <w:numId w:val="213"/>
        </w:numPr>
        <w:tabs>
          <w:tab w:val="left" w:pos="851" w:leader="none"/>
        </w:tabs>
        <w:spacing w:before="240" w:after="60" w:line="240"/>
        <w:ind w:right="0" w:left="4974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Zápis o rozhodnutí dozor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rady k 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řezkoum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ání dokumentu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o vztazích“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v souladu se stanovami obchodní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(čl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ánek 20) se seznámil s obsahem dokumentu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o vztazích“ za období roku 2017. Zkoumaný dokument byl zpracován a projednán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ředstavenstvem společnosti v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ákonem stanovené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ůtě, to je do konce  března roku 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prozkoumal obsah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dokumentu a 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ěluje, že neshledal v 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zpráv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nesprávnosti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nesrovnalosti.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souhlasí, aby tato zpráva byla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řiložena k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VOS a.s. za rok 2017.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050" w:dyaOrig="1518">
          <v:rect xmlns:o="urn:schemas-microsoft-com:office:office" xmlns:v="urn:schemas-microsoft-com:vml" id="rectole0000000004" style="width:452.500000pt;height:75.9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9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Zpráva dozor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rady obchodní spole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čnosti VOS a.s. o činnosti v roce 2017, přezkoum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ání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ěrky a 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ávrhu na rozd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ělen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zisku v roce 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obchodní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VOS a.s. pracovala po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rok 2017 podle plánu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činnosti. Složen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se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ůběhu roku 2017 nezměnilo.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ěřoval zejm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éna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úkol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společnosti. Neust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byl sledován a prov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vývoj obchodní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v roce 2017.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Sledovány byly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prodeje hmotn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majetku a zásob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byly významné.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dohlí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žela na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ýkon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ůsobnosti představenstva. V souladu se stanovami přezkoumala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ávu  o vztazích“. Velmi podrobn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prozkoumala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ěrku společnosti, zpracovanou k 31.12.2017.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Nyní k jednotlivých oblastem:</w:t>
      </w:r>
    </w:p>
    <w:p>
      <w:pPr>
        <w:numPr>
          <w:ilvl w:val="0"/>
          <w:numId w:val="22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ěrka obchodn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 k 31.12.2017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se soust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ředila na podrobn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prozkoumání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společnosti.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se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sezn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ámil s výrokem auditora k 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roku 2017. Rovněž byl ověřen soulad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s 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zprávou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za rok 2017.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ěrka byla přezkoum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těchto podkladů:</w:t>
      </w:r>
    </w:p>
    <w:p>
      <w:pPr>
        <w:numPr>
          <w:ilvl w:val="0"/>
          <w:numId w:val="22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knih akciové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k 31.12.2017</w:t>
      </w:r>
    </w:p>
    <w:p>
      <w:pPr>
        <w:numPr>
          <w:ilvl w:val="0"/>
          <w:numId w:val="22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výkazu zisku a ztráty akciové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k 31.12.2017</w:t>
      </w:r>
    </w:p>
    <w:p>
      <w:pPr>
        <w:numPr>
          <w:ilvl w:val="0"/>
          <w:numId w:val="22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výkazu rozvaha akciové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k 31.12.2017</w:t>
      </w:r>
    </w:p>
    <w:p>
      <w:pPr>
        <w:numPr>
          <w:ilvl w:val="0"/>
          <w:numId w:val="22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ílohy k 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ěrce roku 2017</w:t>
      </w:r>
    </w:p>
    <w:p>
      <w:pPr>
        <w:numPr>
          <w:ilvl w:val="0"/>
          <w:numId w:val="22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výrok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auditora k ověřen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a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zprávy roku 2017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řezkoum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ěluje valn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hromad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akciov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čnosti, že neshledala nedostatky v proveden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ěrky.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souhlasí s výrokem auditora,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ve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ýznamných ohledech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a poctivý obraz aktiv, závazk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ů, vlastn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kapitálu a finan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situace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čnosti k 31.12.2017.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konstatuje,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společnost hospodař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 souladu se zákonem 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valné hromad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společnosti</w:t>
      </w:r>
    </w:p>
    <w:p>
      <w:pPr>
        <w:numPr>
          <w:ilvl w:val="0"/>
          <w:numId w:val="23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rada 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schv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ádné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ěrky roku 2017 bez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ýhrad</w:t>
      </w:r>
    </w:p>
    <w:p>
      <w:pPr>
        <w:numPr>
          <w:ilvl w:val="0"/>
          <w:numId w:val="23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Člen dozorč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rady rovn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 přezkoumal předložen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návrh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ředstavenstva 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úhradu ztráty: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Hospodá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výsledek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ztráta ve schvalovacím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1 340 019,10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čtovat do neuhrazen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ztráty minulých let            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1 340 019,10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Písku dne 21.b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řezna 2018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050" w:dyaOrig="1518">
          <v:rect xmlns:o="urn:schemas-microsoft-com:office:office" xmlns:v="urn:schemas-microsoft-com:vml" id="rectole0000000005" style="width:452.500000pt;height:75.9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5">
    <w:lvl w:ilvl="0">
      <w:start w:val="1"/>
      <w:numFmt w:val="upperRoman"/>
      <w:lvlText w:val="%1."/>
    </w:lvl>
  </w:abstractNum>
  <w:abstractNum w:abstractNumId="11">
    <w:lvl w:ilvl="0">
      <w:start w:val="1"/>
      <w:numFmt w:val="upperRoman"/>
      <w:lvlText w:val="%1."/>
    </w:lvl>
  </w:abstractNum>
  <w:abstractNum w:abstractNumId="17">
    <w:lvl w:ilvl="0">
      <w:start w:val="1"/>
      <w:numFmt w:val="upperRoman"/>
      <w:lvlText w:val="%1."/>
    </w:lvl>
  </w:abstractNum>
  <w:abstractNum w:abstractNumId="23">
    <w:lvl w:ilvl="0">
      <w:start w:val="1"/>
      <w:numFmt w:val="upperRoman"/>
      <w:lvlText w:val="%1."/>
    </w:lvl>
  </w:abstractNum>
  <w:abstractNum w:abstractNumId="29">
    <w:lvl w:ilvl="0">
      <w:start w:val="1"/>
      <w:numFmt w:val="upperRoman"/>
      <w:lvlText w:val="%1."/>
    </w:lvl>
  </w:abstractNum>
  <w:abstractNum w:abstractNumId="35">
    <w:lvl w:ilvl="0">
      <w:start w:val="1"/>
      <w:numFmt w:val="upperRoman"/>
      <w:lvlText w:val="%1.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48">
    <w:abstractNumId w:val="18"/>
  </w:num>
  <w:num w:numId="150">
    <w:abstractNumId w:val="35"/>
  </w:num>
  <w:num w:numId="175">
    <w:abstractNumId w:val="29"/>
  </w:num>
  <w:num w:numId="186">
    <w:abstractNumId w:val="23"/>
  </w:num>
  <w:num w:numId="188">
    <w:abstractNumId w:val="17"/>
  </w:num>
  <w:num w:numId="193">
    <w:abstractNumId w:val="11"/>
  </w:num>
  <w:num w:numId="213">
    <w:abstractNumId w:val="5"/>
  </w:num>
  <w:num w:numId="225">
    <w:abstractNumId w:val="12"/>
  </w:num>
  <w:num w:numId="229">
    <w:abstractNumId w:val="6"/>
  </w:num>
  <w:num w:numId="2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styles.xml" Id="docRId14" Type="http://schemas.openxmlformats.org/officeDocument/2006/relationships/styles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embeddings/oleObject5.bin" Id="docRId11" Type="http://schemas.openxmlformats.org/officeDocument/2006/relationships/oleObject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mailto:moravek@vospisek.cz" Id="docRId0" Type="http://schemas.openxmlformats.org/officeDocument/2006/relationships/hyperlink" /><Relationship Target="media/image5.wmf" Id="docRId12" Type="http://schemas.openxmlformats.org/officeDocument/2006/relationships/image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