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VOS a.s.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Pravidla pro stanovení 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še odměn členů představenstva a člena dozorč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čnosti, způsob jejich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čtu a podm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ínky jejich výplaty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Úkolem managementu je poskytovat zákazník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 kvalitn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výrobky 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s vysokou přidanou hodnotou a zajišťovat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ídající volné 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toky.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 je motivace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ěřena na</w:t>
      </w:r>
    </w:p>
    <w:p>
      <w:pPr>
        <w:tabs>
          <w:tab w:val="left" w:pos="1843" w:leader="none"/>
        </w:tabs>
        <w:spacing w:before="0" w:after="0" w:line="240"/>
        <w:ind w:right="0" w:left="1838" w:hanging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  <w:tab/>
        <w:t xml:space="preserve">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nejvy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ekonomické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a volných 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tabs>
          <w:tab w:val="left" w:pos="1843" w:leader="none"/>
        </w:tabs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  <w:tab/>
        <w:t xml:space="preserve">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ědnou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aktiv a nár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</w:t>
      </w:r>
    </w:p>
    <w:p>
      <w:pPr>
        <w:tabs>
          <w:tab w:val="left" w:pos="1843" w:leader="none"/>
        </w:tabs>
        <w:spacing w:before="0" w:after="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kapitálu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pravidla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i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 pro členy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jednotlivé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žky, způsob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stanovení a postup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jejich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za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ýkon funkce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člena představenstva a člena dozorč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 pro obdob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 od 1. 7.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Pevná slo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žka měs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ěny: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Václav 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představenstva            </w:t>
        <w:tab/>
        <w:t xml:space="preserve">  1.000,- Kč</w:t>
      </w: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Bc. Bed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 Stanč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představenstva      </w:t>
        <w:tab/>
        <w:t xml:space="preserve">  1.000,- Kč</w:t>
      </w: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představ.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představ. </w:t>
        <w:tab/>
        <w:t xml:space="preserve">  1.000,- Kč</w:t>
      </w: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 Miroslav Kurka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                                                         </w:t>
        <w:tab/>
        <w:t xml:space="preserve">5.000,-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íplatek k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ěně: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ředsedovi představenstva - pověřen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členu představenstva Ing. Mikul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ávkovi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 platností od 1.7.2018 za výkon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ůsobnosti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ímého operativního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íplatek k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ěně ve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ši:</w:t>
        <w:tab/>
        <w:t xml:space="preserve"> 12.500,- Kč</w:t>
      </w:r>
    </w:p>
    <w:p>
      <w:pPr>
        <w:tabs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Zvlá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ěny pověřen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člena představenstva: </w:t>
      </w:r>
    </w:p>
    <w:p>
      <w:pPr>
        <w:tabs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řekročen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alikvotní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stanovených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WACC (spodn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limit EBITDA) (vnit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nájemné) o 50%  </w:t>
      </w:r>
    </w:p>
    <w:p>
      <w:pPr>
        <w:tabs>
          <w:tab w:val="left" w:pos="709" w:leader="none"/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</w:t>
        <w:tab/>
        <w:t xml:space="preserve">6.500- Kč</w:t>
      </w:r>
    </w:p>
    <w:p>
      <w:pPr>
        <w:tabs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řekročen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alikvotní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stanovených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WACC (spodn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limit EBITDA) (vnit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nájemné) o 100%   </w:t>
      </w:r>
    </w:p>
    <w:p>
      <w:pPr>
        <w:tabs>
          <w:tab w:val="left" w:pos="709" w:leader="none"/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</w:t>
        <w:tab/>
        <w:t xml:space="preserve">6.000-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tabs>
          <w:tab w:val="right" w:pos="8505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ýkon funkce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 jsou splatné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ždy do 15. dne kalend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následujícího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po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íci, ke kterému se vztahují.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kolektivní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členů představenstva společnosti a člena dozorč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 za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ýsledky v 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 období od 1.1.2018 do 31.12.2018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z očištěn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hodnoty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čištěnou přidanou hodnotou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rozum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EBITDA stanovená jako provozní HV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30) + odpisy (ř. 18) 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 navrhovan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ředstavenstvem a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álené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radou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 náklady na kapitál a riziko WACC (spodní limit EBITDA) (vnit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nájemné).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Náklady na kapitál a riziko WACC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(spodní limit EBITDA) (vnit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nájemné) se stanoví jako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ůměr skutečně dosažen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EBITDA za poslední dv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období. Takto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ůměr EBITDA je pro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WACC sní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 o 50%.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Náklady WACC (spodní limit EBITDA) (vnit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nájemné) jsou stanoveny na celé aktuální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a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se </w:t>
      </w:r>
    </w:p>
    <w:p>
      <w:pPr>
        <w:tabs>
          <w:tab w:val="left" w:pos="1843" w:leader="none"/>
        </w:tabs>
        <w:spacing w:before="0" w:after="0" w:line="240"/>
        <w:ind w:right="0" w:left="1843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  <w:tab/>
        <w:t xml:space="preserve">o procento meziro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nár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ůstu hodnoty 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obhospoda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aktiv za uplynulé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Pokud je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dosažen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EBITDA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WACC (spodn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limit EBITDA) nárok na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ěnu nevznik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Obhospoda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řovan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ými aktivy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pak rozumí aktiva, kterými disponuje management, a to v této struktu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dlouhodobý hmotný majetek (DHM) netto v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cenách,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zásoby celkem netto,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krátkodobé a dlouhodobé pohledávky (bez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ůjček ve skupině) netto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Údaje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 výpo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hodnoty 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EBITDA za rok 2018 budou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štěny z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k 31. 12. 2018.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Hodnota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EBITDA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řekračuj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ící spodní limit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ředstavuje Očištěnou přidanou hodnotu.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WACC společnosti VOS a.s. pro rok 2018: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Hodnota          </w:t>
        <w:tab/>
        <w:t xml:space="preserve">Hodnota</w:t>
        <w:tab/>
        <w:tab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ůstek obhospodařovan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</w:t>
      </w: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obhosp. aktiv</w:t>
        <w:tab/>
        <w:t xml:space="preserve">obhosp. aktiv</w:t>
        <w:tab/>
        <w:tab/>
        <w:t xml:space="preserve">aktiv</w:t>
      </w: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</w:t>
        <w:tab/>
        <w:t xml:space="preserve">2017</w:t>
        <w:tab/>
        <w:tab/>
        <w:t xml:space="preserve">2017/2016</w:t>
      </w: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26 389 000</w:t>
        <w:tab/>
        <w:t xml:space="preserve">23 551 000</w:t>
        <w:tab/>
        <w:t xml:space="preserve">    </w:t>
        <w:tab/>
        <w:t xml:space="preserve">      -10,75%</w:t>
      </w: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-5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-5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čišť. EBITDA    </w:t>
        <w:tab/>
        <w:t xml:space="preserve">Očišť. EBITDA Průměr          </w:t>
        <w:tab/>
        <w:t xml:space="preserve">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ůstek obhosp. </w:t>
        <w:tab/>
        <w:t xml:space="preserve">Orientačn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           </w:t>
        <w:tab/>
        <w:t xml:space="preserve">Pevn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stanov.</w:t>
      </w:r>
    </w:p>
    <w:p>
      <w:pPr>
        <w:tabs>
          <w:tab w:val="left" w:pos="1560" w:leader="none"/>
          <w:tab w:val="left" w:pos="2835" w:leader="none"/>
          <w:tab w:val="left" w:pos="4111" w:leader="none"/>
          <w:tab w:val="left" w:pos="5812" w:leader="none"/>
          <w:tab w:val="left" w:pos="7371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2016                    </w:t>
        <w:tab/>
        <w:t xml:space="preserve">2017                 2016,2017       </w:t>
        <w:tab/>
        <w:t xml:space="preserve">aktiv 2017            </w:t>
        <w:tab/>
        <w:t xml:space="preserve">normativ 2018       </w:t>
        <w:tab/>
        <w:t xml:space="preserve">náklady WACC 2018</w:t>
      </w:r>
    </w:p>
    <w:p>
      <w:pPr>
        <w:tabs>
          <w:tab w:val="left" w:pos="1560" w:leader="none"/>
          <w:tab w:val="left" w:pos="2835" w:leader="none"/>
          <w:tab w:val="left" w:pos="4536" w:leader="none"/>
          <w:tab w:val="left" w:pos="5812" w:leader="none"/>
          <w:tab w:val="left" w:pos="6237" w:leader="none"/>
          <w:tab w:val="left" w:pos="7371" w:leader="none"/>
          <w:tab w:val="right" w:pos="8931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1 184 000             </w:t>
        <w:tab/>
        <w:t xml:space="preserve">1 190 000         </w:t>
        <w:tab/>
        <w:t xml:space="preserve">1 187 000                 -10,75%              1 059 000 x 0,5 =                   </w:t>
        <w:tab/>
        <w:t xml:space="preserve">530 000</w:t>
      </w:r>
    </w:p>
    <w:p>
      <w:pPr>
        <w:tabs>
          <w:tab w:val="right" w:pos="8931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WACC pro společnosti s nižš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požadovanou rentabilitou 5%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0      </w:t>
      </w:r>
    </w:p>
    <w:p>
      <w:pPr>
        <w:tabs>
          <w:tab w:val="right" w:pos="893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931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Náklady WACC 2018 (spodní limit EBITDA) (vnit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nájemné) pro spol. VOS a.s.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            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530 000                                                               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Kolektivní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členů představenstva a členů dozorč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 za dosažen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hodnoty: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dosažen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2018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orgány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ěnu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15,40%.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(vypočten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2.1.) pro členy představenstva, pověřen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člena představenstva a člena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čnosti: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     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ěny, tj. 3,85% z 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Václav 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ánek 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ěny, tj. 3,85% z 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Bc. Bed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 Stanč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ěny, tj. 3,85% z 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 Miroslav Kurka                    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ěny, tj. 3,85% z Očištěn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Motivace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ředstavenstva a dozorč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 ze zisku z prodeje nepotřebn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DHM.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dosažen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kladného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výsledku z prodeje nepot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dlouhodobého hmotného majetku (DHM)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členům představenstva, pověřen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členu představenstva a členu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7,70% z kladn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HV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prodejem DHM vyplácená formou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ěny: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     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 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podílu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2.2.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Václav 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ánek 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 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podílu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2.2.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Bc. Bed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řich Stanč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  <w:tab/>
        <w:t xml:space="preserve">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 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podílu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2.2.</w:t>
      </w:r>
    </w:p>
    <w:p>
      <w:pPr>
        <w:tabs>
          <w:tab w:val="left" w:pos="3119" w:leader="none"/>
          <w:tab w:val="righ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 Miroslav Kurka                    25%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z 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podílu vypo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čl. 2.2.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stanovených úkol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může představenstvo navrhnout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vyplacen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mimo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a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Kolektivní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představenstva 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dle čl. 2.1. a 2.2. se vypl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ácí po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za rok 2018 auditorem společnosti. Na kolektivn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ěnu dle bodu 2.1.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předběžn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a se souhlasem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vyplatit zálohu na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ěnu až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90% předpokl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ádaného podílu na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hodnot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Pravidla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s platností od 1.7.2018 nahrazují pravidla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ze dne 30.6.2017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ředloženo ke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álení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valné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 15. června 2018.</w:t>
      </w: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3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 pravidla byla schválena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ádnou valnou hromadou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dne 15.6.2018, což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podpisy potvrzují:</w:t>
      </w: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představenstva společnosti:       </w:t>
        <w:tab/>
        <w:t xml:space="preserve">………………………………. </w:t>
      </w: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čnosti:  </w:t>
        <w:tab/>
        <w:t xml:space="preserve">      ……………………………….</w:t>
      </w:r>
    </w:p>
    <w:p>
      <w:pPr>
        <w:tabs>
          <w:tab w:val="left" w:pos="383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1">
    <w:abstractNumId w:val="12"/>
  </w:num>
  <w:num w:numId="23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